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00" w:after="240" w:line="300" w:lineRule="auto"/>
      </w:pPr>
      <w:r>
        <w:rPr>
          <w:rFonts w:ascii="Calibri" w:hAnsi="Calibri"/>
          <w:i w:val="0"/>
          <w:color w:val="0F766E"/>
          <w:sz w:val="20"/>
        </w:rPr>
        <w:t>CONTROLLED EVIDENCE TEMPLATE</w:t>
      </w:r>
    </w:p>
    <w:p>
      <w:pPr>
        <w:keepNext/>
        <w:spacing w:before="0" w:after="140" w:line="300" w:lineRule="auto"/>
      </w:pPr>
      <w:r>
        <w:rPr>
          <w:rFonts w:ascii="Calibri" w:hAnsi="Calibri"/>
          <w:i w:val="0"/>
          <w:color w:val="0B2545"/>
          <w:sz w:val="56"/>
        </w:rPr>
        <w:t>HUMAN TIER 0</w:t>
        <w:br/>
        <w:t>EVIDENCE REPORT</w:t>
      </w:r>
    </w:p>
    <w:p>
      <w:pPr>
        <w:keepNext/>
        <w:spacing w:before="0" w:after="360" w:line="300" w:lineRule="auto"/>
      </w:pPr>
      <w:r>
        <w:rPr>
          <w:rFonts w:ascii="Calibri" w:hAnsi="Calibri"/>
          <w:i w:val="0"/>
          <w:color w:val="1F4D78"/>
          <w:sz w:val="28"/>
        </w:rPr>
        <w:t>Template v1.0 for one compensated, accessible, human tabletop</w:t>
      </w:r>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340"/>
        <w:gridCol w:w="2340"/>
        <w:gridCol w:w="2340"/>
        <w:gridCol w:w="2340"/>
      </w:tblGrid>
      <w:tr>
        <w:trPr>
          <w:cantSplit/>
          <w:tblHeader w:val="true"/>
        </w:trPr>
        <w:tc>
          <w:tcPr>
            <w:tcW w:type="dxa" w:w="2340"/>
            <w:tcMar>
              <w:top w:w="80" w:type="dxa"/>
              <w:start w:w="120" w:type="dxa"/>
              <w:bottom w:w="80" w:type="dxa"/>
              <w:end w:w="120" w:type="dxa"/>
            </w:tcMar>
            <w:vAlign w:val="center"/>
            <w:shd w:fill="EAF4EE"/>
          </w:tcPr>
          <w:p>
            <w:pPr>
              <w:spacing w:before="0" w:after="0" w:line="240" w:lineRule="auto"/>
            </w:pPr>
            <w:r/>
            <w:r>
              <w:rPr>
                <w:rFonts w:ascii="Calibri" w:hAnsi="Calibri"/>
                <w:b/>
                <w:i w:val="0"/>
                <w:color w:val="0B2545"/>
                <w:sz w:val="17"/>
              </w:rPr>
              <w:t>EVIDENCE</w:t>
            </w:r>
          </w:p>
        </w:tc>
        <w:tc>
          <w:tcPr>
            <w:tcW w:type="dxa" w:w="2340"/>
            <w:tcMar>
              <w:top w:w="80" w:type="dxa"/>
              <w:start w:w="120" w:type="dxa"/>
              <w:bottom w:w="80" w:type="dxa"/>
              <w:end w:w="120" w:type="dxa"/>
            </w:tcMar>
            <w:vAlign w:val="center"/>
            <w:shd w:fill="EAF4EE"/>
          </w:tcPr>
          <w:p>
            <w:pPr>
              <w:spacing w:before="0" w:after="0" w:line="240" w:lineRule="auto"/>
            </w:pPr>
            <w:r/>
            <w:r>
              <w:rPr>
                <w:rFonts w:ascii="Calibri" w:hAnsi="Calibri"/>
                <w:b/>
                <w:i w:val="0"/>
                <w:color w:val="0B2545"/>
                <w:sz w:val="17"/>
              </w:rPr>
              <w:t>DISSENT</w:t>
            </w:r>
          </w:p>
        </w:tc>
        <w:tc>
          <w:tcPr>
            <w:tcW w:type="dxa" w:w="2340"/>
            <w:tcMar>
              <w:top w:w="80" w:type="dxa"/>
              <w:start w:w="120" w:type="dxa"/>
              <w:bottom w:w="80" w:type="dxa"/>
              <w:end w:w="120" w:type="dxa"/>
            </w:tcMar>
            <w:vAlign w:val="center"/>
            <w:shd w:fill="EAF4EE"/>
          </w:tcPr>
          <w:p>
            <w:pPr>
              <w:spacing w:before="0" w:after="0" w:line="240" w:lineRule="auto"/>
            </w:pPr>
            <w:r/>
            <w:r>
              <w:rPr>
                <w:rFonts w:ascii="Calibri" w:hAnsi="Calibri"/>
                <w:b/>
                <w:i w:val="0"/>
                <w:color w:val="0B2545"/>
                <w:sz w:val="17"/>
              </w:rPr>
              <w:t>DISPOSITION</w:t>
            </w:r>
          </w:p>
        </w:tc>
        <w:tc>
          <w:tcPr>
            <w:tcW w:type="dxa" w:w="2340"/>
            <w:tcMar>
              <w:top w:w="80" w:type="dxa"/>
              <w:start w:w="120" w:type="dxa"/>
              <w:bottom w:w="80" w:type="dxa"/>
              <w:end w:w="120" w:type="dxa"/>
            </w:tcMar>
            <w:vAlign w:val="center"/>
            <w:shd w:fill="EAF4EE"/>
          </w:tcPr>
          <w:p>
            <w:pPr>
              <w:spacing w:before="0" w:after="0" w:line="240" w:lineRule="auto"/>
            </w:pPr>
            <w:r/>
            <w:r>
              <w:rPr>
                <w:rFonts w:ascii="Calibri" w:hAnsi="Calibri"/>
                <w:b/>
                <w:i w:val="0"/>
                <w:color w:val="0B2545"/>
                <w:sz w:val="17"/>
              </w:rPr>
              <w:t>PROTOCOL</w:t>
            </w:r>
          </w:p>
        </w:tc>
      </w:tr>
      <w:tr>
        <w:trPr>
          <w:cantSplit/>
        </w:trPr>
        <w:tc>
          <w:tcPr>
            <w:tcW w:type="dxa" w:w="2340"/>
            <w:tcMar>
              <w:top w:w="80" w:type="dxa"/>
              <w:start w:w="120" w:type="dxa"/>
              <w:bottom w:w="80" w:type="dxa"/>
              <w:end w:w="120" w:type="dxa"/>
            </w:tcMar>
          </w:tcPr>
          <w:p>
            <w:pPr>
              <w:spacing w:before="0" w:after="0" w:line="240" w:lineRule="auto"/>
            </w:pPr>
            <w:r/>
            <w:r>
              <w:rPr>
                <w:rFonts w:ascii="Calibri" w:hAnsi="Calibri"/>
                <w:b w:val="0"/>
                <w:i w:val="0"/>
                <w:color w:val="111827"/>
                <w:sz w:val="17"/>
              </w:rPr>
              <w:t>Observed and bounded</w:t>
            </w:r>
          </w:p>
        </w:tc>
        <w:tc>
          <w:tcPr>
            <w:tcW w:type="dxa" w:w="2340"/>
            <w:tcMar>
              <w:top w:w="80" w:type="dxa"/>
              <w:start w:w="120" w:type="dxa"/>
              <w:bottom w:w="80" w:type="dxa"/>
              <w:end w:w="120" w:type="dxa"/>
            </w:tcMar>
          </w:tcPr>
          <w:p>
            <w:pPr>
              <w:spacing w:before="0" w:after="0" w:line="240" w:lineRule="auto"/>
            </w:pPr>
            <w:r/>
            <w:r>
              <w:rPr>
                <w:rFonts w:ascii="Calibri" w:hAnsi="Calibri"/>
                <w:b w:val="0"/>
                <w:i w:val="0"/>
                <w:color w:val="111827"/>
                <w:sz w:val="17"/>
              </w:rPr>
              <w:t>Preserved</w:t>
            </w:r>
          </w:p>
        </w:tc>
        <w:tc>
          <w:tcPr>
            <w:tcW w:type="dxa" w:w="2340"/>
            <w:tcMar>
              <w:top w:w="80" w:type="dxa"/>
              <w:start w:w="120" w:type="dxa"/>
              <w:bottom w:w="80" w:type="dxa"/>
              <w:end w:w="120" w:type="dxa"/>
            </w:tcMar>
          </w:tcPr>
          <w:p>
            <w:pPr>
              <w:spacing w:before="0" w:after="0" w:line="240" w:lineRule="auto"/>
            </w:pPr>
            <w:r/>
            <w:r>
              <w:rPr>
                <w:rFonts w:ascii="Calibri" w:hAnsi="Calibri"/>
                <w:b w:val="0"/>
                <w:i w:val="0"/>
                <w:color w:val="111827"/>
                <w:sz w:val="17"/>
              </w:rPr>
              <w:t>Non-authorizing</w:t>
            </w:r>
          </w:p>
        </w:tc>
        <w:tc>
          <w:tcPr>
            <w:tcW w:type="dxa" w:w="2340"/>
            <w:tcMar>
              <w:top w:w="80" w:type="dxa"/>
              <w:start w:w="120" w:type="dxa"/>
              <w:bottom w:w="80" w:type="dxa"/>
              <w:end w:w="120" w:type="dxa"/>
            </w:tcMar>
          </w:tcPr>
          <w:p>
            <w:pPr>
              <w:spacing w:before="0" w:after="0" w:line="240" w:lineRule="auto"/>
            </w:pPr>
            <w:r/>
            <w:r>
              <w:rPr>
                <w:rFonts w:ascii="Calibri" w:hAnsi="Calibri"/>
                <w:b w:val="0"/>
                <w:i w:val="0"/>
                <w:color w:val="111827"/>
                <w:sz w:val="17"/>
              </w:rPr>
              <w:t>v1.1 closed</w:t>
            </w:r>
          </w:p>
        </w:tc>
      </w:tr>
    </w:tbl>
    <w:p>
      <w:pPr>
        <w:spacing w:after="0"/>
      </w:pPr>
    </w:p>
    <w:p>
      <w:pPr>
        <w:keepNext w:val="0"/>
        <w:spacing w:before="0" w:after="360" w:line="300" w:lineRule="auto"/>
      </w:pPr>
      <w:r>
        <w:rPr>
          <w:rFonts w:ascii="Calibri" w:hAnsi="Calibri"/>
          <w:i w:val="0"/>
          <w:color w:val="111827"/>
          <w:sz w:val="22"/>
        </w:rPr>
      </w:r>
    </w:p>
    <w:tbl>
      <w:tblPr>
        <w:tblW w:type="dxa" w:w="9360"/>
        <w:jc w:val="left"/>
        <w:tblLayout w:type="fixed"/>
        <w:tblLook w:firstColumn="1" w:firstRow="1" w:lastColumn="0" w:lastRow="0" w:noHBand="0" w:noVBand="1" w:val="04A0"/>
        <w:tblInd w:w="120" w:type="dxa"/>
        <w:tblBorders>
          <w:top w:val="single" w:sz="6" w:space="0" w:color="2D6A4F"/>
          <w:left w:val="single" w:sz="6" w:space="0" w:color="2D6A4F"/>
          <w:bottom w:val="single" w:sz="6" w:space="0" w:color="2D6A4F"/>
          <w:right w:val="single" w:sz="6" w:space="0" w:color="2D6A4F"/>
          <w:insideH w:val="single" w:sz="6" w:space="0" w:color="2D6A4F"/>
          <w:insideV w:val="single" w:sz="6" w:space="0" w:color="2D6A4F"/>
        </w:tblBorders>
      </w:tblPr>
      <w:tblGrid>
        <w:gridCol w:w="9360"/>
      </w:tblGrid>
      <w:tr>
        <w:trPr>
          <w:tblHeader w:val="true"/>
          <w:cantSplit/>
        </w:trPr>
        <w:tc>
          <w:tcPr>
            <w:tcW w:type="dxa" w:w="9360"/>
            <w:tcMar>
              <w:top w:w="80" w:type="dxa"/>
              <w:start w:w="120" w:type="dxa"/>
              <w:bottom w:w="80" w:type="dxa"/>
              <w:end w:w="120" w:type="dxa"/>
            </w:tcMar>
            <w:vAlign w:val="center"/>
            <w:shd w:fill="EAF4EE"/>
          </w:tcPr>
          <w:p>
            <w:pPr>
              <w:spacing w:before="0" w:after="40" w:line="240" w:lineRule="auto"/>
            </w:pPr>
            <w:r/>
            <w:r>
              <w:rPr>
                <w:rFonts w:ascii="Calibri" w:hAnsi="Calibri"/>
                <w:b/>
                <w:color w:val="2D6A4F"/>
                <w:sz w:val="18"/>
              </w:rPr>
              <w:t>FIXED STATUS STATEMENT</w:t>
            </w:r>
          </w:p>
          <w:p>
            <w:pPr>
              <w:spacing w:after="0" w:line="276" w:lineRule="auto"/>
            </w:pPr>
            <w:r>
              <w:rPr>
                <w:rFonts w:ascii="Calibri" w:hAnsi="Calibri"/>
                <w:color w:val="111827"/>
                <w:sz w:val="20"/>
              </w:rPr>
              <w:t>This report documents one compensated, accessible, human Tier 0 tabletop with actual affected participants and prospective duty-bearers. It provides context-bound evidence about comprehension, authority, burden, safeguards and operational feasibility. It does not validate Transformational Laboratories Protocol v1.0, establish safety or effectiveness, authorize any material intervention, constitute ethics or regulatory clearance, or open Protocol v1.1. No live patient data, changed care pathway or consequential AI was used.</w:t>
            </w:r>
          </w:p>
        </w:tc>
      </w:tr>
    </w:tbl>
    <w:p>
      <w:pPr>
        <w:spacing w:after="0"/>
      </w:pPr>
    </w:p>
    <w:p>
      <w:pPr>
        <w:keepNext w:val="0"/>
        <w:spacing w:before="400" w:after="80" w:line="300" w:lineRule="auto"/>
      </w:pPr>
      <w:r>
        <w:rPr>
          <w:rFonts w:ascii="Calibri" w:hAnsi="Calibri"/>
          <w:i w:val="0"/>
          <w:color w:val="0B2545"/>
          <w:sz w:val="22"/>
        </w:rPr>
        <w:t>Candidate undertaking: [Enter working name]</w:t>
      </w:r>
    </w:p>
    <w:p>
      <w:pPr>
        <w:keepNext w:val="0"/>
        <w:spacing w:before="0" w:after="40" w:line="300" w:lineRule="auto"/>
      </w:pPr>
      <w:r>
        <w:rPr>
          <w:rFonts w:ascii="Calibri" w:hAnsi="Calibri"/>
          <w:i w:val="0"/>
          <w:color w:val="5B6470"/>
          <w:sz w:val="20"/>
        </w:rPr>
        <w:t>Host: [Enter host]</w:t>
      </w:r>
    </w:p>
    <w:p>
      <w:pPr>
        <w:keepNext w:val="0"/>
        <w:spacing w:before="0" w:after="40" w:line="300" w:lineRule="auto"/>
      </w:pPr>
      <w:r>
        <w:rPr>
          <w:rFonts w:ascii="Calibri" w:hAnsi="Calibri"/>
          <w:i w:val="0"/>
          <w:color w:val="5B6470"/>
          <w:sz w:val="20"/>
        </w:rPr>
        <w:t>Tabletop date: [Enter date]</w:t>
      </w:r>
    </w:p>
    <w:p>
      <w:pPr>
        <w:keepNext w:val="0"/>
        <w:spacing w:before="0" w:after="200" w:line="300" w:lineRule="auto"/>
      </w:pPr>
      <w:r>
        <w:rPr>
          <w:rFonts w:ascii="Calibri" w:hAnsi="Calibri"/>
          <w:i w:val="0"/>
          <w:color w:val="5B6470"/>
          <w:sz w:val="20"/>
        </w:rPr>
        <w:t>Report version / evidence cutoff: [Enter]</w:t>
      </w:r>
    </w:p>
    <w:p>
      <w:pPr>
        <w:keepNext w:val="0"/>
        <w:spacing w:before="0" w:after="0" w:line="300" w:lineRule="auto"/>
      </w:pPr>
      <w:r>
        <w:rPr>
          <w:rFonts w:ascii="Calibri" w:hAnsi="Calibri"/>
          <w:i w:val="0"/>
          <w:color w:val="5B6470"/>
          <w:sz w:val="19"/>
        </w:rPr>
        <w:t xml:space="preserve">Governing record: </w:t>
      </w:r>
      <w:hyperlink r:id="rId11">
        <w:r>
          <w:rPr>
            <w:rFonts w:ascii="Calibri" w:hAnsi="Calibri"/>
            <w:color w:val="2E74B5"/>
            <w:u w:val="single"/>
            <w:sz w:val="22"/>
          </w:rPr>
          <w:t>doi:10.5281/zenodo.22230642</w:t>
        </w:r>
      </w:hyperlink>
    </w:p>
    <w:p>
      <w:pPr>
        <w:spacing w:before="0" w:after="0" w:line="300" w:lineRule="auto"/>
      </w:pPr>
      <w:r>
        <w:rPr>
          <w:rFonts w:ascii="Calibri" w:hAnsi="Calibri"/>
          <w:i w:val="0"/>
          <w:color w:val="5B6470"/>
          <w:sz w:val="19"/>
        </w:rPr>
        <w:t>Template v1.0 | 3 September 2026 | CC BY 4.0</w:t>
      </w:r>
    </w:p>
    <w:p>
      <w:r>
        <w:br w:type="page"/>
      </w:r>
    </w:p>
    <w:p>
      <w:bookmarkStart w:id="1" w:name="contents"/>
      <w:pPr>
        <w:pStyle w:val="Heading1"/>
      </w:pPr>
      <w:r>
        <w:t>Contents and reading pathways</w:t>
      </w:r>
      <w:bookmarkEnd w:id="1"/>
    </w:p>
    <w:p>
      <w:pPr>
        <w:keepNext w:val="0"/>
        <w:spacing w:before="0" w:after="120" w:line="300" w:lineRule="auto"/>
      </w:pPr>
      <w:r>
        <w:rPr>
          <w:rFonts w:ascii="Calibri" w:hAnsi="Calibri"/>
          <w:i w:val="0"/>
          <w:color w:val="111827"/>
          <w:sz w:val="22"/>
        </w:rPr>
        <w:t>Use the document navigation pane or the links below. The layers are designed for progressive disclosure; read only as deeply as your decision and role require.</w:t>
      </w:r>
    </w:p>
    <w:p>
      <w:pPr>
        <w:spacing w:after="60"/>
        <w:ind w:left="0"/>
      </w:pPr>
      <w:hyperlink w:anchor="r_rules">
        <w:r>
          <w:rPr>
            <w:color w:val="2E74B5"/>
            <w:u w:val="single"/>
          </w:rPr>
          <w:t>Completion rules</w:t>
        </w:r>
      </w:hyperlink>
    </w:p>
    <w:p>
      <w:pPr>
        <w:spacing w:after="60"/>
        <w:ind w:left="0"/>
      </w:pPr>
      <w:hyperlink w:anchor="r_control">
        <w:r>
          <w:rPr>
            <w:color w:val="2E74B5"/>
            <w:u w:val="single"/>
          </w:rPr>
          <w:t>1. Document control</w:t>
        </w:r>
      </w:hyperlink>
    </w:p>
    <w:p>
      <w:pPr>
        <w:spacing w:after="60"/>
        <w:ind w:left="0"/>
      </w:pPr>
      <w:hyperlink w:anchor="r_boundary">
        <w:r>
          <w:rPr>
            <w:color w:val="2E74B5"/>
            <w:u w:val="single"/>
          </w:rPr>
          <w:t>2. Claims boundary</w:t>
        </w:r>
      </w:hyperlink>
    </w:p>
    <w:p>
      <w:pPr>
        <w:spacing w:after="60"/>
        <w:ind w:left="0"/>
      </w:pPr>
      <w:hyperlink w:anchor="r_summary">
        <w:r>
          <w:rPr>
            <w:color w:val="2E74B5"/>
            <w:u w:val="single"/>
          </w:rPr>
          <w:t>3. Executive evidentiary summary</w:t>
        </w:r>
      </w:hyperlink>
    </w:p>
    <w:p>
      <w:pPr>
        <w:spacing w:after="60"/>
        <w:ind w:left="0"/>
      </w:pPr>
      <w:hyperlink w:anchor="r_method">
        <w:r>
          <w:rPr>
            <w:color w:val="2E74B5"/>
            <w:u w:val="single"/>
          </w:rPr>
          <w:t>4. Purpose, candidate and method</w:t>
        </w:r>
      </w:hyperlink>
    </w:p>
    <w:p>
      <w:pPr>
        <w:spacing w:after="60"/>
        <w:ind w:left="0"/>
      </w:pPr>
      <w:hyperlink w:anchor="r_governance">
        <w:r>
          <w:rPr>
            <w:color w:val="2E74B5"/>
            <w:u w:val="single"/>
          </w:rPr>
          <w:t>5. Governance, participation and standing</w:t>
        </w:r>
      </w:hyperlink>
    </w:p>
    <w:p>
      <w:pPr>
        <w:spacing w:after="60"/>
        <w:ind w:left="0"/>
      </w:pPr>
      <w:hyperlink w:anchor="r_compensation">
        <w:r>
          <w:rPr>
            <w:color w:val="2E74B5"/>
            <w:u w:val="single"/>
          </w:rPr>
          <w:t>6. Compensation and accessibility</w:t>
        </w:r>
      </w:hyperlink>
    </w:p>
    <w:p>
      <w:pPr>
        <w:spacing w:after="60"/>
        <w:ind w:left="0"/>
      </w:pPr>
      <w:hyperlink w:anchor="r_evidence">
        <w:r>
          <w:rPr>
            <w:color w:val="2E74B5"/>
            <w:u w:val="single"/>
          </w:rPr>
          <w:t>7. Evidence register</w:t>
        </w:r>
      </w:hyperlink>
    </w:p>
    <w:p>
      <w:pPr>
        <w:spacing w:after="60"/>
        <w:ind w:left="0"/>
      </w:pPr>
      <w:hyperlink w:anchor="r_metabolism">
        <w:r>
          <w:rPr>
            <w:color w:val="2E74B5"/>
            <w:u w:val="single"/>
          </w:rPr>
          <w:t>8. Operational metabolism</w:t>
        </w:r>
      </w:hyperlink>
    </w:p>
    <w:p>
      <w:pPr>
        <w:spacing w:after="60"/>
        <w:ind w:left="0"/>
      </w:pPr>
      <w:hyperlink w:anchor="r_safeguards">
        <w:r>
          <w:rPr>
            <w:color w:val="2E74B5"/>
            <w:u w:val="single"/>
          </w:rPr>
          <w:t>9. Safeguards, rupture and disagreement</w:t>
        </w:r>
      </w:hyperlink>
    </w:p>
    <w:p>
      <w:pPr>
        <w:spacing w:after="60"/>
        <w:ind w:left="0"/>
      </w:pPr>
      <w:hyperlink w:anchor="r_interpretation">
        <w:r>
          <w:rPr>
            <w:color w:val="2E74B5"/>
            <w:u w:val="single"/>
          </w:rPr>
          <w:t>10. Interpretation and judgment</w:t>
        </w:r>
      </w:hyperlink>
    </w:p>
    <w:p>
      <w:pPr>
        <w:spacing w:after="60"/>
        <w:ind w:left="0"/>
      </w:pPr>
      <w:hyperlink w:anchor="r_recommendations">
        <w:r>
          <w:rPr>
            <w:color w:val="2E74B5"/>
            <w:u w:val="single"/>
          </w:rPr>
          <w:t>11. Recommendations and Companion refinement</w:t>
        </w:r>
      </w:hyperlink>
    </w:p>
    <w:p>
      <w:pPr>
        <w:spacing w:after="60"/>
        <w:ind w:left="0"/>
      </w:pPr>
      <w:hyperlink w:anchor="r_disposition">
        <w:r>
          <w:rPr>
            <w:color w:val="2E74B5"/>
            <w:u w:val="single"/>
          </w:rPr>
          <w:t>12. Disposition and Protocol v1.1 hold</w:t>
        </w:r>
      </w:hyperlink>
    </w:p>
    <w:p>
      <w:pPr>
        <w:spacing w:after="60"/>
        <w:ind w:left="0"/>
      </w:pPr>
      <w:hyperlink w:anchor="r_review">
        <w:r>
          <w:rPr>
            <w:color w:val="2E74B5"/>
            <w:u w:val="single"/>
          </w:rPr>
          <w:t>13. Participant review and record control</w:t>
        </w:r>
      </w:hyperlink>
    </w:p>
    <w:p>
      <w:pPr>
        <w:spacing w:after="60"/>
        <w:ind w:left="0"/>
      </w:pPr>
      <w:hyperlink w:anchor="r_canonical">
        <w:r>
          <w:rPr>
            <w:color w:val="2E74B5"/>
            <w:u w:val="single"/>
          </w:rPr>
          <w:t>14. Canonical record and disclosure</w:t>
        </w:r>
      </w:hyperlink>
    </w:p>
    <w:p>
      <w:pPr>
        <w:spacing w:after="60"/>
        <w:ind w:left="0"/>
      </w:pPr>
      <w:hyperlink w:anchor="r_annexes">
        <w:r>
          <w:rPr>
            <w:color w:val="2E74B5"/>
            <w:u w:val="single"/>
          </w:rPr>
          <w:t>Annex checklist</w:t>
        </w:r>
      </w:hyperlink>
    </w:p>
    <w:p>
      <w:r>
        <w:br w:type="page"/>
      </w:r>
    </w:p>
    <w:p>
      <w:bookmarkStart w:id="2" w:name="r_rules"/>
      <w:pPr>
        <w:pStyle w:val="Heading1"/>
      </w:pPr>
      <w:r>
        <w:t>Completion rules</w:t>
      </w:r>
      <w:bookmarkEnd w:id="2"/>
    </w:p>
    <w:tbl>
      <w:tblPr>
        <w:tblW w:type="dxa" w:w="9360"/>
        <w:jc w:val="left"/>
        <w:tblLayout w:type="fixed"/>
        <w:tblLook w:firstColumn="1" w:firstRow="1" w:lastColumn="0" w:lastRow="0" w:noHBand="0" w:noVBand="1" w:val="04A0"/>
        <w:tblInd w:w="120" w:type="dxa"/>
        <w:tblBorders>
          <w:top w:val="single" w:sz="6" w:space="0" w:color="2E74B5"/>
          <w:left w:val="single" w:sz="6" w:space="0" w:color="2E74B5"/>
          <w:bottom w:val="single" w:sz="6" w:space="0" w:color="2E74B5"/>
          <w:right w:val="single" w:sz="6" w:space="0" w:color="2E74B5"/>
          <w:insideH w:val="single" w:sz="6" w:space="0" w:color="2E74B5"/>
          <w:insideV w:val="single" w:sz="6" w:space="0" w:color="2E74B5"/>
        </w:tblBorders>
      </w:tblPr>
      <w:tblGrid>
        <w:gridCol w:w="9360"/>
      </w:tblGrid>
      <w:tr>
        <w:trPr>
          <w:tblHeader w:val="true"/>
          <w:cantSplit/>
        </w:trPr>
        <w:tc>
          <w:tcPr>
            <w:tcW w:type="dxa" w:w="9360"/>
            <w:tcMar>
              <w:top w:w="80" w:type="dxa"/>
              <w:start w:w="120" w:type="dxa"/>
              <w:bottom w:w="80" w:type="dxa"/>
              <w:end w:w="120" w:type="dxa"/>
            </w:tcMar>
            <w:vAlign w:val="center"/>
            <w:shd w:fill="E8EEF5"/>
          </w:tcPr>
          <w:p>
            <w:pPr>
              <w:spacing w:before="0" w:after="40" w:line="240" w:lineRule="auto"/>
            </w:pPr>
            <w:r/>
            <w:r>
              <w:rPr>
                <w:rFonts w:ascii="Calibri" w:hAnsi="Calibri"/>
                <w:b/>
                <w:color w:val="2E74B5"/>
                <w:sz w:val="18"/>
              </w:rPr>
              <w:t>FOUR-LAYER RULE</w:t>
            </w:r>
          </w:p>
          <w:p>
            <w:pPr>
              <w:spacing w:after="0" w:line="276" w:lineRule="auto"/>
            </w:pPr>
            <w:r>
              <w:rPr>
                <w:rFonts w:ascii="Calibri" w:hAnsi="Calibri"/>
                <w:color w:val="111827"/>
                <w:sz w:val="20"/>
              </w:rPr>
              <w:t>Keep evidence, interpretation, judgment and decision visibly separate. An observation is not an inference; a participant report is not collective authorization; an interpretation is not a gate decision; and a tabletop disposition is not implementation authority.</w:t>
            </w:r>
          </w:p>
        </w:tc>
      </w:tr>
    </w:tbl>
    <w:p>
      <w:pPr>
        <w:spacing w:after="0"/>
      </w:pPr>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650"/>
        <w:gridCol w:w="4100"/>
        <w:gridCol w:w="3610"/>
      </w:tblGrid>
      <w:tr>
        <w:trPr>
          <w:cantSplit/>
          <w:tblHeader w:val="true"/>
        </w:trPr>
        <w:tc>
          <w:tcPr>
            <w:tcW w:type="dxa" w:w="16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Layer</w:t>
            </w:r>
          </w:p>
        </w:tc>
        <w:tc>
          <w:tcPr>
            <w:tcW w:type="dxa" w:w="41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Required content</w:t>
            </w:r>
          </w:p>
        </w:tc>
        <w:tc>
          <w:tcPr>
            <w:tcW w:type="dxa" w:w="36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Prohibited substitution</w:t>
            </w:r>
          </w:p>
        </w:tc>
      </w:tr>
      <w:tr>
        <w:trPr>
          <w:cantSplit/>
        </w:trPr>
        <w:tc>
          <w:tcPr>
            <w:tcW w:type="dxa" w:w="1650"/>
            <w:tcMar>
              <w:top w:w="80" w:type="dxa"/>
              <w:start w:w="120" w:type="dxa"/>
              <w:bottom w:w="80" w:type="dxa"/>
              <w:end w:w="120" w:type="dxa"/>
            </w:tcMar>
          </w:tcPr>
          <w:p>
            <w:pPr>
              <w:spacing w:before="0" w:after="0" w:line="240" w:lineRule="auto"/>
            </w:pPr>
            <w:r/>
            <w:r>
              <w:rPr>
                <w:rFonts w:ascii="Calibri" w:hAnsi="Calibri"/>
                <w:b/>
                <w:i w:val="0"/>
                <w:color w:val="111827"/>
                <w:sz w:val="16"/>
              </w:rPr>
              <w:t>Evidence</w:t>
            </w:r>
          </w:p>
        </w:tc>
        <w:tc>
          <w:tcPr>
            <w:tcW w:type="dxa" w:w="4100"/>
            <w:tcMar>
              <w:top w:w="80" w:type="dxa"/>
              <w:start w:w="120" w:type="dxa"/>
              <w:bottom w:w="80" w:type="dxa"/>
              <w:end w:w="120" w:type="dxa"/>
            </w:tcMar>
          </w:tcPr>
          <w:p>
            <w:pPr>
              <w:spacing w:before="0" w:after="0" w:line="240" w:lineRule="auto"/>
            </w:pPr>
            <w:r/>
            <w:r>
              <w:rPr>
                <w:rFonts w:ascii="Calibri" w:hAnsi="Calibri"/>
                <w:b w:val="0"/>
                <w:i w:val="0"/>
                <w:color w:val="111827"/>
                <w:sz w:val="16"/>
              </w:rPr>
              <w:t>What was observed, reported, documented or calculated, with source, standing and limit.</w:t>
            </w:r>
          </w:p>
        </w:tc>
        <w:tc>
          <w:tcPr>
            <w:tcW w:type="dxa" w:w="3610"/>
            <w:tcMar>
              <w:top w:w="80" w:type="dxa"/>
              <w:start w:w="120" w:type="dxa"/>
              <w:bottom w:w="80" w:type="dxa"/>
              <w:end w:w="120" w:type="dxa"/>
            </w:tcMar>
          </w:tcPr>
          <w:p>
            <w:pPr>
              <w:spacing w:before="0" w:after="0" w:line="240" w:lineRule="auto"/>
            </w:pPr>
            <w:r/>
            <w:r>
              <w:rPr>
                <w:rFonts w:ascii="Calibri" w:hAnsi="Calibri"/>
                <w:b w:val="0"/>
                <w:i w:val="0"/>
                <w:color w:val="111827"/>
                <w:sz w:val="16"/>
              </w:rPr>
              <w:t>Do not fill absence with AI, facilitator inference or institutional proxy.</w:t>
            </w:r>
          </w:p>
        </w:tc>
      </w:tr>
      <w:tr>
        <w:trPr>
          <w:cantSplit/>
        </w:trPr>
        <w:tc>
          <w:tcPr>
            <w:tcW w:type="dxa" w:w="1650"/>
            <w:tcMar>
              <w:top w:w="80" w:type="dxa"/>
              <w:start w:w="120" w:type="dxa"/>
              <w:bottom w:w="80" w:type="dxa"/>
              <w:end w:w="120" w:type="dxa"/>
            </w:tcMar>
          </w:tcPr>
          <w:p>
            <w:pPr>
              <w:spacing w:before="0" w:after="0" w:line="240" w:lineRule="auto"/>
            </w:pPr>
            <w:r/>
            <w:r>
              <w:rPr>
                <w:rFonts w:ascii="Calibri" w:hAnsi="Calibri"/>
                <w:b/>
                <w:i w:val="0"/>
                <w:color w:val="111827"/>
                <w:sz w:val="16"/>
              </w:rPr>
              <w:t>Interpretation</w:t>
            </w:r>
          </w:p>
        </w:tc>
        <w:tc>
          <w:tcPr>
            <w:tcW w:type="dxa" w:w="4100"/>
            <w:tcMar>
              <w:top w:w="80" w:type="dxa"/>
              <w:start w:w="120" w:type="dxa"/>
              <w:bottom w:w="80" w:type="dxa"/>
              <w:end w:w="120" w:type="dxa"/>
            </w:tcMar>
          </w:tcPr>
          <w:p>
            <w:pPr>
              <w:spacing w:before="0" w:after="0" w:line="240" w:lineRule="auto"/>
            </w:pPr>
            <w:r/>
            <w:r>
              <w:rPr>
                <w:rFonts w:ascii="Calibri" w:hAnsi="Calibri"/>
                <w:b w:val="0"/>
                <w:i w:val="0"/>
                <w:color w:val="111827"/>
                <w:sz w:val="16"/>
              </w:rPr>
              <w:t>What evidence may mean, including rivals, uncertainty and affected interpretations.</w:t>
            </w:r>
          </w:p>
        </w:tc>
        <w:tc>
          <w:tcPr>
            <w:tcW w:type="dxa" w:w="3610"/>
            <w:tcMar>
              <w:top w:w="80" w:type="dxa"/>
              <w:start w:w="120" w:type="dxa"/>
              <w:bottom w:w="80" w:type="dxa"/>
              <w:end w:w="120" w:type="dxa"/>
            </w:tcMar>
          </w:tcPr>
          <w:p>
            <w:pPr>
              <w:spacing w:before="0" w:after="0" w:line="240" w:lineRule="auto"/>
            </w:pPr>
            <w:r/>
            <w:r>
              <w:rPr>
                <w:rFonts w:ascii="Calibri" w:hAnsi="Calibri"/>
                <w:b w:val="0"/>
                <w:i w:val="0"/>
                <w:color w:val="111827"/>
                <w:sz w:val="16"/>
              </w:rPr>
              <w:t>Do not state causation or generalize beyond the bounded setting without evidence.</w:t>
            </w:r>
          </w:p>
        </w:tc>
      </w:tr>
      <w:tr>
        <w:trPr>
          <w:cantSplit/>
        </w:trPr>
        <w:tc>
          <w:tcPr>
            <w:tcW w:type="dxa" w:w="1650"/>
            <w:tcMar>
              <w:top w:w="80" w:type="dxa"/>
              <w:start w:w="120" w:type="dxa"/>
              <w:bottom w:w="80" w:type="dxa"/>
              <w:end w:w="120" w:type="dxa"/>
            </w:tcMar>
          </w:tcPr>
          <w:p>
            <w:pPr>
              <w:spacing w:before="0" w:after="0" w:line="240" w:lineRule="auto"/>
            </w:pPr>
            <w:r/>
            <w:r>
              <w:rPr>
                <w:rFonts w:ascii="Calibri" w:hAnsi="Calibri"/>
                <w:b/>
                <w:i w:val="0"/>
                <w:color w:val="111827"/>
                <w:sz w:val="16"/>
              </w:rPr>
              <w:t>Judgment</w:t>
            </w:r>
          </w:p>
        </w:tc>
        <w:tc>
          <w:tcPr>
            <w:tcW w:type="dxa" w:w="4100"/>
            <w:tcMar>
              <w:top w:w="80" w:type="dxa"/>
              <w:start w:w="120" w:type="dxa"/>
              <w:bottom w:w="80" w:type="dxa"/>
              <w:end w:w="120" w:type="dxa"/>
            </w:tcMar>
          </w:tcPr>
          <w:p>
            <w:pPr>
              <w:spacing w:before="0" w:after="0" w:line="240" w:lineRule="auto"/>
            </w:pPr>
            <w:r/>
            <w:r>
              <w:rPr>
                <w:rFonts w:ascii="Calibri" w:hAnsi="Calibri"/>
                <w:b w:val="0"/>
                <w:i w:val="0"/>
                <w:color w:val="111827"/>
                <w:sz w:val="16"/>
              </w:rPr>
              <w:t>How a named authority assessed a defined question and evidence.</w:t>
            </w:r>
          </w:p>
        </w:tc>
        <w:tc>
          <w:tcPr>
            <w:tcW w:type="dxa" w:w="3610"/>
            <w:tcMar>
              <w:top w:w="80" w:type="dxa"/>
              <w:start w:w="120" w:type="dxa"/>
              <w:bottom w:w="80" w:type="dxa"/>
              <w:end w:w="120" w:type="dxa"/>
            </w:tcMar>
          </w:tcPr>
          <w:p>
            <w:pPr>
              <w:spacing w:before="0" w:after="0" w:line="240" w:lineRule="auto"/>
            </w:pPr>
            <w:r/>
            <w:r>
              <w:rPr>
                <w:rFonts w:ascii="Calibri" w:hAnsi="Calibri"/>
                <w:b w:val="0"/>
                <w:i w:val="0"/>
                <w:color w:val="111827"/>
                <w:sz w:val="16"/>
              </w:rPr>
              <w:t>Do not let facilitator, author, sponsor or AI silently acquire authority.</w:t>
            </w:r>
          </w:p>
        </w:tc>
      </w:tr>
      <w:tr>
        <w:trPr>
          <w:cantSplit/>
        </w:trPr>
        <w:tc>
          <w:tcPr>
            <w:tcW w:type="dxa" w:w="1650"/>
            <w:tcMar>
              <w:top w:w="80" w:type="dxa"/>
              <w:start w:w="120" w:type="dxa"/>
              <w:bottom w:w="80" w:type="dxa"/>
              <w:end w:w="120" w:type="dxa"/>
            </w:tcMar>
          </w:tcPr>
          <w:p>
            <w:pPr>
              <w:spacing w:before="0" w:after="0" w:line="240" w:lineRule="auto"/>
            </w:pPr>
            <w:r/>
            <w:r>
              <w:rPr>
                <w:rFonts w:ascii="Calibri" w:hAnsi="Calibri"/>
                <w:b/>
                <w:i w:val="0"/>
                <w:color w:val="111827"/>
                <w:sz w:val="16"/>
              </w:rPr>
              <w:t>Decision</w:t>
            </w:r>
          </w:p>
        </w:tc>
        <w:tc>
          <w:tcPr>
            <w:tcW w:type="dxa" w:w="4100"/>
            <w:tcMar>
              <w:top w:w="80" w:type="dxa"/>
              <w:start w:w="120" w:type="dxa"/>
              <w:bottom w:w="80" w:type="dxa"/>
              <w:end w:w="120" w:type="dxa"/>
            </w:tcMar>
          </w:tcPr>
          <w:p>
            <w:pPr>
              <w:spacing w:before="0" w:after="0" w:line="240" w:lineRule="auto"/>
            </w:pPr>
            <w:r/>
            <w:r>
              <w:rPr>
                <w:rFonts w:ascii="Calibri" w:hAnsi="Calibri"/>
                <w:b w:val="0"/>
                <w:i w:val="0"/>
                <w:color w:val="111827"/>
                <w:sz w:val="16"/>
              </w:rPr>
              <w:t>The bounded, non-authorizing tabletop disposition and its conditions.</w:t>
            </w:r>
          </w:p>
        </w:tc>
        <w:tc>
          <w:tcPr>
            <w:tcW w:type="dxa" w:w="3610"/>
            <w:tcMar>
              <w:top w:w="80" w:type="dxa"/>
              <w:start w:w="120" w:type="dxa"/>
              <w:bottom w:w="80" w:type="dxa"/>
              <w:end w:w="120" w:type="dxa"/>
            </w:tcMar>
          </w:tcPr>
          <w:p>
            <w:pPr>
              <w:spacing w:before="0" w:after="0" w:line="240" w:lineRule="auto"/>
            </w:pPr>
            <w:r/>
            <w:r>
              <w:rPr>
                <w:rFonts w:ascii="Calibri" w:hAnsi="Calibri"/>
                <w:b w:val="0"/>
                <w:i w:val="0"/>
                <w:color w:val="111827"/>
                <w:sz w:val="16"/>
              </w:rPr>
              <w:t>Do not call the result passed, validated, safe, effective, approved or ready.</w:t>
            </w:r>
          </w:p>
        </w:tc>
      </w:tr>
    </w:tbl>
    <w:p>
      <w:pPr>
        <w:spacing w:after="0"/>
      </w:pPr>
    </w:p>
    <w:p>
      <w:pPr>
        <w:numPr>
          <w:ilvl w:val="0"/>
          <w:numId w:val="10"/>
        </w:numPr>
        <w:spacing w:after="80" w:line="300" w:lineRule="auto"/>
      </w:pPr>
      <w:r>
        <w:rPr>
          <w:rFonts w:ascii="Calibri" w:hAnsi="Calibri"/>
          <w:color w:val="111827"/>
          <w:sz w:val="22"/>
        </w:rPr>
        <w:t>Use one canonical status tag per result: Directly observed, Scenario-estimated, Proxy-derived or Not measured.</w:t>
      </w:r>
    </w:p>
    <w:p>
      <w:pPr>
        <w:numPr>
          <w:ilvl w:val="0"/>
          <w:numId w:val="10"/>
        </w:numPr>
        <w:spacing w:after="80" w:line="300" w:lineRule="auto"/>
      </w:pPr>
      <w:r>
        <w:rPr>
          <w:rFonts w:ascii="Calibri" w:hAnsi="Calibri"/>
          <w:color w:val="111827"/>
          <w:sz w:val="22"/>
        </w:rPr>
        <w:t>Record source type separately: participant report, facilitator observation, documentary record, institutional assertion, calculation, independent judgment, interpretation or recommendation.</w:t>
      </w:r>
    </w:p>
    <w:p>
      <w:pPr>
        <w:numPr>
          <w:ilvl w:val="0"/>
          <w:numId w:val="10"/>
        </w:numPr>
        <w:spacing w:after="80" w:line="300" w:lineRule="auto"/>
      </w:pPr>
      <w:r>
        <w:rPr>
          <w:rFonts w:ascii="Calibri" w:hAnsi="Calibri"/>
          <w:color w:val="111827"/>
          <w:sz w:val="22"/>
        </w:rPr>
        <w:t>Report definitions, denominators, planned versus actual values, missing data and deviations.</w:t>
      </w:r>
    </w:p>
    <w:p>
      <w:pPr>
        <w:numPr>
          <w:ilvl w:val="0"/>
          <w:numId w:val="10"/>
        </w:numPr>
        <w:spacing w:after="80" w:line="300" w:lineRule="auto"/>
      </w:pPr>
      <w:r>
        <w:rPr>
          <w:rFonts w:ascii="Calibri" w:hAnsi="Calibri"/>
          <w:color w:val="111827"/>
          <w:sz w:val="22"/>
        </w:rPr>
        <w:t>Disaggregate by affected standing and role where confidentiality permits; use ranges and protected qualitative findings for small groups.</w:t>
      </w:r>
    </w:p>
    <w:p>
      <w:pPr>
        <w:numPr>
          <w:ilvl w:val="0"/>
          <w:numId w:val="10"/>
        </w:numPr>
        <w:spacing w:after="80" w:line="300" w:lineRule="auto"/>
      </w:pPr>
      <w:r>
        <w:rPr>
          <w:rFonts w:ascii="Calibri" w:hAnsi="Calibri"/>
          <w:color w:val="111827"/>
          <w:sz w:val="22"/>
        </w:rPr>
        <w:t>No composite success or efficiency score; do not average away critical misunderstanding, burden, dissent or distributional harm.</w:t>
      </w:r>
    </w:p>
    <w:p>
      <w:pPr>
        <w:numPr>
          <w:ilvl w:val="0"/>
          <w:numId w:val="10"/>
        </w:numPr>
        <w:spacing w:after="80" w:line="300" w:lineRule="auto"/>
      </w:pPr>
      <w:r>
        <w:rPr>
          <w:rFonts w:ascii="Calibri" w:hAnsi="Calibri"/>
          <w:color w:val="111827"/>
          <w:sz w:val="22"/>
        </w:rPr>
        <w:t>Factual review is not endorsement. Silence, attendance, completion or failure to review is not consent.</w:t>
      </w:r>
    </w:p>
    <w:p>
      <w:bookmarkStart w:id="3" w:name="r_control"/>
      <w:pPr>
        <w:pStyle w:val="Heading1"/>
      </w:pPr>
      <w:r>
        <w:t>1. Document control</w:t>
      </w:r>
      <w:bookmarkEnd w:id="3"/>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500"/>
        <w:gridCol w:w="6860"/>
      </w:tblGrid>
      <w:tr>
        <w:trPr>
          <w:cantSplit/>
          <w:tblHeader w:val="true"/>
        </w:trPr>
        <w:tc>
          <w:tcPr>
            <w:tcW w:type="dxa" w:w="25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Field</w:t>
            </w:r>
          </w:p>
        </w:tc>
        <w:tc>
          <w:tcPr>
            <w:tcW w:type="dxa" w:w="68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Controlled entry</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Report title</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Human Tier 0 Evidence Report: [Candidate undertaking]</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Rehearsal identifier</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[Controlled ID]</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Host / accountable officer</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[Name, role, institution and authority]</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Date / time / format</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Report version</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[Restricted draft / participant factual review / final evidentiary record / corrected version]</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Evidence cutoff</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[Date and time]</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Report lead</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[Name, role and conflict statement]</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Independent safeguards observer</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[Name, independence and contact]</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Affected-participant reviewers</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[Protected role/ID references, not unnecessary identifiers]</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Prospective duty-bearer reviewers</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[Names/roles and limits of authority]</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Data custodian</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[Name, access, retention and deletion duties]</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Confidentiality / redaction</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[Public and restricted record boundary]</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Candidate Note / plan</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[Identifiers and versions]</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Field Companion used</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[Version and controlled location]</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Protocol v1.0</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Sahely (2026); DOI 10.5281/zenodo.22230642</w:t>
            </w:r>
          </w:p>
        </w:tc>
      </w:tr>
      <w:tr>
        <w:trPr>
          <w:cantSplit/>
        </w:trPr>
        <w:tc>
          <w:tcPr>
            <w:tcW w:type="dxa" w:w="2500"/>
            <w:tcMar>
              <w:top w:w="80" w:type="dxa"/>
              <w:start w:w="120" w:type="dxa"/>
              <w:bottom w:w="80" w:type="dxa"/>
              <w:end w:w="120" w:type="dxa"/>
            </w:tcMar>
          </w:tcPr>
          <w:p>
            <w:pPr>
              <w:spacing w:before="0" w:after="0" w:line="240" w:lineRule="auto"/>
            </w:pPr>
            <w:r/>
            <w:r>
              <w:rPr>
                <w:rFonts w:ascii="Calibri" w:hAnsi="Calibri"/>
                <w:b/>
                <w:i w:val="0"/>
                <w:color w:val="111827"/>
                <w:sz w:val="16"/>
              </w:rPr>
              <w:t>Protocol v1.1 status</w:t>
            </w:r>
          </w:p>
        </w:tc>
        <w:tc>
          <w:tcPr>
            <w:tcW w:type="dxa" w:w="6860"/>
            <w:tcMar>
              <w:top w:w="80" w:type="dxa"/>
              <w:start w:w="120" w:type="dxa"/>
              <w:bottom w:w="80" w:type="dxa"/>
              <w:end w:w="120" w:type="dxa"/>
            </w:tcMar>
          </w:tcPr>
          <w:p>
            <w:pPr>
              <w:spacing w:before="0" w:after="0" w:line="240" w:lineRule="auto"/>
            </w:pPr>
            <w:r/>
            <w:r>
              <w:rPr>
                <w:rFonts w:ascii="Calibri" w:hAnsi="Calibri"/>
                <w:b w:val="0"/>
                <w:i w:val="0"/>
                <w:color w:val="111827"/>
                <w:sz w:val="16"/>
              </w:rPr>
              <w:t>CLOSED</w:t>
            </w:r>
          </w:p>
        </w:tc>
      </w:tr>
    </w:tbl>
    <w:p>
      <w:pPr>
        <w:spacing w:after="0"/>
      </w:pPr>
    </w:p>
    <w:p>
      <w:pPr>
        <w:keepNext w:val="0"/>
        <w:spacing w:before="0" w:after="120" w:line="300" w:lineRule="auto"/>
      </w:pPr>
      <w:r>
        <w:rPr>
          <w:rFonts w:ascii="Calibri" w:hAnsi="Calibri"/>
          <w:i w:val="0"/>
          <w:color w:val="111827"/>
          <w:sz w:val="22"/>
        </w:rPr>
        <w:t>A signature or review acknowledgment means the person has seen the record. It must not be represented as agreement, endorsement, collective authorization or waiver.</w:t>
      </w:r>
    </w:p>
    <w:p>
      <w:bookmarkStart w:id="4" w:name="r_boundary"/>
      <w:pPr>
        <w:pStyle w:val="Heading1"/>
      </w:pPr>
      <w:r>
        <w:t>2. Claims boundary</w:t>
      </w:r>
      <w:bookmarkEnd w:id="4"/>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4750"/>
        <w:gridCol w:w="4610"/>
      </w:tblGrid>
      <w:tr>
        <w:trPr>
          <w:cantSplit/>
          <w:tblHeader w:val="true"/>
        </w:trPr>
        <w:tc>
          <w:tcPr>
            <w:tcW w:type="dxa" w:w="4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Check</w:t>
            </w:r>
          </w:p>
        </w:tc>
        <w:tc>
          <w:tcPr>
            <w:tcW w:type="dxa" w:w="46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Evidence / entry</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No live patient or service-user data entered the rehearsal</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 ID / exception]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No actual care pathway, entitlement, service or institutional process changed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 ID / exception]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No material intervention or deployment decision occurred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 ID / exception]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No consequential AI was used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 ID / exception]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No AI evaluated participants, assigned standing, scored testimony or determined disposition</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 ID / exception]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Participation was compensated, including agreed preparation and review</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 ID / exception]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Accessibility and care/access replacement were assessed and funded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 ID / exception]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Pause, withdrawal, correction and dissent rights were explained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 ID / exception]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An independent rupture and safeguards channel was available</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 ID / exception]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No clearance is claimed beyond the determinations documented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 ID / exception]</w:t>
            </w:r>
          </w:p>
        </w:tc>
      </w:tr>
    </w:tbl>
    <w:p>
      <w:pPr>
        <w:spacing w:after="0"/>
      </w:pPr>
    </w:p>
    <w:tbl>
      <w:tblPr>
        <w:tblW w:type="dxa" w:w="9360"/>
        <w:jc w:val="left"/>
        <w:tblLayout w:type="fixed"/>
        <w:tblLook w:firstColumn="1" w:firstRow="1" w:lastColumn="0" w:lastRow="0" w:noHBand="0" w:noVBand="1" w:val="04A0"/>
        <w:tblInd w:w="120" w:type="dxa"/>
        <w:tblBorders>
          <w:top w:val="single" w:sz="6" w:space="0" w:color="9B1C1C"/>
          <w:left w:val="single" w:sz="6" w:space="0" w:color="9B1C1C"/>
          <w:bottom w:val="single" w:sz="6" w:space="0" w:color="9B1C1C"/>
          <w:right w:val="single" w:sz="6" w:space="0" w:color="9B1C1C"/>
          <w:insideH w:val="single" w:sz="6" w:space="0" w:color="9B1C1C"/>
          <w:insideV w:val="single" w:sz="6" w:space="0" w:color="9B1C1C"/>
        </w:tblBorders>
      </w:tblPr>
      <w:tblGrid>
        <w:gridCol w:w="9360"/>
      </w:tblGrid>
      <w:tr>
        <w:trPr>
          <w:tblHeader w:val="true"/>
          <w:cantSplit/>
        </w:trPr>
        <w:tc>
          <w:tcPr>
            <w:tcW w:type="dxa" w:w="9360"/>
            <w:tcMar>
              <w:top w:w="80" w:type="dxa"/>
              <w:start w:w="120" w:type="dxa"/>
              <w:bottom w:w="80" w:type="dxa"/>
              <w:end w:w="120" w:type="dxa"/>
            </w:tcMar>
            <w:vAlign w:val="center"/>
            <w:shd w:fill="FCEBEC"/>
          </w:tcPr>
          <w:p>
            <w:pPr>
              <w:spacing w:before="0" w:after="40" w:line="240" w:lineRule="auto"/>
            </w:pPr>
            <w:r/>
            <w:r>
              <w:rPr>
                <w:rFonts w:ascii="Calibri" w:hAnsi="Calibri"/>
                <w:b/>
                <w:color w:val="9B1C1C"/>
                <w:sz w:val="18"/>
              </w:rPr>
              <w:t>EXCEPTION RULE</w:t>
            </w:r>
          </w:p>
          <w:p>
            <w:pPr>
              <w:spacing w:after="0" w:line="276" w:lineRule="auto"/>
            </w:pPr>
            <w:r>
              <w:rPr>
                <w:rFonts w:ascii="Calibri" w:hAnsi="Calibri"/>
                <w:color w:val="111827"/>
                <w:sz w:val="20"/>
              </w:rPr>
              <w:t>Any breach or exception enters the deviation register immediately and triggers independent review of whether the report is non-decisional. A live-data, material-change or consequential-AI breach is a mandatory hold.</w:t>
            </w:r>
          </w:p>
        </w:tc>
      </w:tr>
    </w:tbl>
    <w:p>
      <w:pPr>
        <w:spacing w:after="0"/>
      </w:pPr>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400"/>
        <w:gridCol w:w="1800"/>
        <w:gridCol w:w="2500"/>
        <w:gridCol w:w="1900"/>
        <w:gridCol w:w="1760"/>
      </w:tblGrid>
      <w:tr>
        <w:trPr>
          <w:cantSplit/>
          <w:tblHeader w:val="true"/>
        </w:trPr>
        <w:tc>
          <w:tcPr>
            <w:tcW w:type="dxa" w:w="14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Deviation ID</w:t>
            </w:r>
          </w:p>
        </w:tc>
        <w:tc>
          <w:tcPr>
            <w:tcW w:type="dxa" w:w="18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Boundary / plan</w:t>
            </w:r>
          </w:p>
        </w:tc>
        <w:tc>
          <w:tcPr>
            <w:tcW w:type="dxa" w:w="25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What occurred</w:t>
            </w:r>
          </w:p>
        </w:tc>
        <w:tc>
          <w:tcPr>
            <w:tcW w:type="dxa" w:w="19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Immediate protection</w:t>
            </w:r>
          </w:p>
        </w:tc>
        <w:tc>
          <w:tcPr>
            <w:tcW w:type="dxa" w:w="17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Effect on evidence / disposition</w:t>
            </w:r>
          </w:p>
        </w:tc>
      </w:tr>
      <w:tr>
        <w:trPr>
          <w:cantSplit/>
        </w:trPr>
        <w:tc>
          <w:tcPr>
            <w:tcW w:type="dxa" w:w="14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5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4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5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bookmarkStart w:id="5" w:name="r_summary"/>
      <w:pPr>
        <w:pStyle w:val="Heading1"/>
      </w:pPr>
      <w:r>
        <w:t>3. Executive evidentiary summary</w:t>
      </w:r>
      <w:bookmarkEnd w:id="5"/>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600"/>
        <w:gridCol w:w="5450"/>
        <w:gridCol w:w="2310"/>
      </w:tblGrid>
      <w:tr>
        <w:trPr>
          <w:cantSplit/>
          <w:tblHeader w:val="true"/>
        </w:trPr>
        <w:tc>
          <w:tcPr>
            <w:tcW w:type="dxa" w:w="16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Layer</w:t>
            </w:r>
          </w:p>
        </w:tc>
        <w:tc>
          <w:tcPr>
            <w:tcW w:type="dxa" w:w="54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Bounded summary</w:t>
            </w:r>
          </w:p>
        </w:tc>
        <w:tc>
          <w:tcPr>
            <w:tcW w:type="dxa" w:w="23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Evidence / authority reference</w:t>
            </w:r>
          </w:p>
        </w:tc>
      </w:tr>
      <w:tr>
        <w:trPr>
          <w:cantSplit/>
        </w:trPr>
        <w:tc>
          <w:tcPr>
            <w:tcW w:type="dxa" w:w="1600"/>
            <w:tcMar>
              <w:top w:w="80" w:type="dxa"/>
              <w:start w:w="120" w:type="dxa"/>
              <w:bottom w:w="80" w:type="dxa"/>
              <w:end w:w="120" w:type="dxa"/>
            </w:tcMar>
          </w:tcPr>
          <w:p>
            <w:pPr>
              <w:spacing w:before="0" w:after="0" w:line="240" w:lineRule="auto"/>
            </w:pPr>
            <w:r/>
            <w:r>
              <w:rPr>
                <w:rFonts w:ascii="Calibri" w:hAnsi="Calibri"/>
                <w:b/>
                <w:i w:val="0"/>
                <w:color w:val="111827"/>
                <w:sz w:val="16"/>
              </w:rPr>
              <w:t>Evidence</w:t>
            </w:r>
          </w:p>
        </w:tc>
        <w:tc>
          <w:tcPr>
            <w:tcW w:type="dxa" w:w="5450"/>
            <w:tcMar>
              <w:top w:w="80" w:type="dxa"/>
              <w:start w:w="120" w:type="dxa"/>
              <w:bottom w:w="80" w:type="dxa"/>
              <w:end w:w="120" w:type="dxa"/>
            </w:tcMar>
          </w:tcPr>
          <w:p>
            <w:pPr>
              <w:spacing w:before="0" w:after="0" w:line="240" w:lineRule="auto"/>
            </w:pPr>
            <w:r/>
            <w:r>
              <w:rPr>
                <w:rFonts w:ascii="Calibri" w:hAnsi="Calibri"/>
                <w:b w:val="0"/>
                <w:i w:val="0"/>
                <w:color w:val="111827"/>
                <w:sz w:val="16"/>
              </w:rPr>
              <w:t>[What was directly observed, reported, documented or calculated?]</w:t>
            </w:r>
          </w:p>
        </w:tc>
        <w:tc>
          <w:tcPr>
            <w:tcW w:type="dxa" w:w="2310"/>
            <w:tcMar>
              <w:top w:w="80" w:type="dxa"/>
              <w:start w:w="120" w:type="dxa"/>
              <w:bottom w:w="80" w:type="dxa"/>
              <w:end w:w="120" w:type="dxa"/>
            </w:tcMar>
          </w:tcPr>
          <w:p>
            <w:pPr>
              <w:spacing w:before="0" w:after="0" w:line="240" w:lineRule="auto"/>
            </w:pPr>
            <w:r/>
            <w:r>
              <w:rPr>
                <w:rFonts w:ascii="Calibri" w:hAnsi="Calibri"/>
                <w:b w:val="0"/>
                <w:i w:val="0"/>
                <w:color w:val="111827"/>
                <w:sz w:val="16"/>
              </w:rPr>
              <w:t>[IDs]</w:t>
            </w:r>
          </w:p>
        </w:tc>
      </w:tr>
      <w:tr>
        <w:trPr>
          <w:cantSplit/>
        </w:trPr>
        <w:tc>
          <w:tcPr>
            <w:tcW w:type="dxa" w:w="1600"/>
            <w:tcMar>
              <w:top w:w="80" w:type="dxa"/>
              <w:start w:w="120" w:type="dxa"/>
              <w:bottom w:w="80" w:type="dxa"/>
              <w:end w:w="120" w:type="dxa"/>
            </w:tcMar>
          </w:tcPr>
          <w:p>
            <w:pPr>
              <w:spacing w:before="0" w:after="0" w:line="240" w:lineRule="auto"/>
            </w:pPr>
            <w:r/>
            <w:r>
              <w:rPr>
                <w:rFonts w:ascii="Calibri" w:hAnsi="Calibri"/>
                <w:b/>
                <w:i w:val="0"/>
                <w:color w:val="111827"/>
                <w:sz w:val="16"/>
              </w:rPr>
              <w:t>Interpretation</w:t>
            </w:r>
          </w:p>
        </w:tc>
        <w:tc>
          <w:tcPr>
            <w:tcW w:type="dxa" w:w="5450"/>
            <w:tcMar>
              <w:top w:w="80" w:type="dxa"/>
              <w:start w:w="120" w:type="dxa"/>
              <w:bottom w:w="80" w:type="dxa"/>
              <w:end w:w="120" w:type="dxa"/>
            </w:tcMar>
          </w:tcPr>
          <w:p>
            <w:pPr>
              <w:spacing w:before="0" w:after="0" w:line="240" w:lineRule="auto"/>
            </w:pPr>
            <w:r/>
            <w:r>
              <w:rPr>
                <w:rFonts w:ascii="Calibri" w:hAnsi="Calibri"/>
                <w:b w:val="0"/>
                <w:i w:val="0"/>
                <w:color w:val="111827"/>
                <w:sz w:val="16"/>
              </w:rPr>
              <w:t>[What may it mean; what alternatives and uncertainties remain?]</w:t>
            </w:r>
          </w:p>
        </w:tc>
        <w:tc>
          <w:tcPr>
            <w:tcW w:type="dxa" w:w="2310"/>
            <w:tcMar>
              <w:top w:w="80" w:type="dxa"/>
              <w:start w:w="120" w:type="dxa"/>
              <w:bottom w:w="80" w:type="dxa"/>
              <w:end w:w="120" w:type="dxa"/>
            </w:tcMar>
          </w:tcPr>
          <w:p>
            <w:pPr>
              <w:spacing w:before="0" w:after="0" w:line="240" w:lineRule="auto"/>
            </w:pPr>
            <w:r/>
            <w:r>
              <w:rPr>
                <w:rFonts w:ascii="Calibri" w:hAnsi="Calibri"/>
                <w:b w:val="0"/>
                <w:i w:val="0"/>
                <w:color w:val="111827"/>
                <w:sz w:val="16"/>
              </w:rPr>
              <w:t>[IDs]</w:t>
            </w:r>
          </w:p>
        </w:tc>
      </w:tr>
      <w:tr>
        <w:trPr>
          <w:cantSplit/>
        </w:trPr>
        <w:tc>
          <w:tcPr>
            <w:tcW w:type="dxa" w:w="1600"/>
            <w:tcMar>
              <w:top w:w="80" w:type="dxa"/>
              <w:start w:w="120" w:type="dxa"/>
              <w:bottom w:w="80" w:type="dxa"/>
              <w:end w:w="120" w:type="dxa"/>
            </w:tcMar>
          </w:tcPr>
          <w:p>
            <w:pPr>
              <w:spacing w:before="0" w:after="0" w:line="240" w:lineRule="auto"/>
            </w:pPr>
            <w:r/>
            <w:r>
              <w:rPr>
                <w:rFonts w:ascii="Calibri" w:hAnsi="Calibri"/>
                <w:b/>
                <w:i w:val="0"/>
                <w:color w:val="111827"/>
                <w:sz w:val="16"/>
              </w:rPr>
              <w:t>Judgment</w:t>
            </w:r>
          </w:p>
        </w:tc>
        <w:tc>
          <w:tcPr>
            <w:tcW w:type="dxa" w:w="5450"/>
            <w:tcMar>
              <w:top w:w="80" w:type="dxa"/>
              <w:start w:w="120" w:type="dxa"/>
              <w:bottom w:w="80" w:type="dxa"/>
              <w:end w:w="120" w:type="dxa"/>
            </w:tcMar>
          </w:tcPr>
          <w:p>
            <w:pPr>
              <w:spacing w:before="0" w:after="0" w:line="240" w:lineRule="auto"/>
            </w:pPr>
            <w:r/>
            <w:r>
              <w:rPr>
                <w:rFonts w:ascii="Calibri" w:hAnsi="Calibri"/>
                <w:b w:val="0"/>
                <w:i w:val="0"/>
                <w:color w:val="111827"/>
                <w:sz w:val="16"/>
              </w:rPr>
              <w:t>[How did named authorities evaluate defined questions?]</w:t>
            </w:r>
          </w:p>
        </w:tc>
        <w:tc>
          <w:tcPr>
            <w:tcW w:type="dxa" w:w="2310"/>
            <w:tcMar>
              <w:top w:w="80" w:type="dxa"/>
              <w:start w:w="120" w:type="dxa"/>
              <w:bottom w:w="80" w:type="dxa"/>
              <w:end w:w="120" w:type="dxa"/>
            </w:tcMar>
          </w:tcPr>
          <w:p>
            <w:pPr>
              <w:spacing w:before="0" w:after="0" w:line="240" w:lineRule="auto"/>
            </w:pPr>
            <w:r/>
            <w:r>
              <w:rPr>
                <w:rFonts w:ascii="Calibri" w:hAnsi="Calibri"/>
                <w:b w:val="0"/>
                <w:i w:val="0"/>
                <w:color w:val="111827"/>
                <w:sz w:val="16"/>
              </w:rPr>
              <w:t>[Judgment IDs]</w:t>
            </w:r>
          </w:p>
        </w:tc>
      </w:tr>
      <w:tr>
        <w:trPr>
          <w:cantSplit/>
        </w:trPr>
        <w:tc>
          <w:tcPr>
            <w:tcW w:type="dxa" w:w="1600"/>
            <w:tcMar>
              <w:top w:w="80" w:type="dxa"/>
              <w:start w:w="120" w:type="dxa"/>
              <w:bottom w:w="80" w:type="dxa"/>
              <w:end w:w="120" w:type="dxa"/>
            </w:tcMar>
          </w:tcPr>
          <w:p>
            <w:pPr>
              <w:spacing w:before="0" w:after="0" w:line="240" w:lineRule="auto"/>
            </w:pPr>
            <w:r/>
            <w:r>
              <w:rPr>
                <w:rFonts w:ascii="Calibri" w:hAnsi="Calibri"/>
                <w:b/>
                <w:i w:val="0"/>
                <w:color w:val="111827"/>
                <w:sz w:val="16"/>
              </w:rPr>
              <w:t>Decision</w:t>
            </w:r>
          </w:p>
        </w:tc>
        <w:tc>
          <w:tcPr>
            <w:tcW w:type="dxa" w:w="5450"/>
            <w:tcMar>
              <w:top w:w="80" w:type="dxa"/>
              <w:start w:w="120" w:type="dxa"/>
              <w:bottom w:w="80" w:type="dxa"/>
              <w:end w:w="120" w:type="dxa"/>
            </w:tcMar>
          </w:tcPr>
          <w:p>
            <w:pPr>
              <w:spacing w:before="0" w:after="0" w:line="240" w:lineRule="auto"/>
            </w:pPr>
            <w:r/>
            <w:r>
              <w:rPr>
                <w:rFonts w:ascii="Calibri" w:hAnsi="Calibri"/>
                <w:b w:val="0"/>
                <w:i w:val="0"/>
                <w:color w:val="111827"/>
                <w:sz w:val="16"/>
              </w:rPr>
              <w:t>[Bounded tabletop disposition and explicit non-authorization]</w:t>
            </w:r>
          </w:p>
        </w:tc>
        <w:tc>
          <w:tcPr>
            <w:tcW w:type="dxa" w:w="2310"/>
            <w:tcMar>
              <w:top w:w="80" w:type="dxa"/>
              <w:start w:w="120" w:type="dxa"/>
              <w:bottom w:w="80" w:type="dxa"/>
              <w:end w:w="120" w:type="dxa"/>
            </w:tcMar>
          </w:tcPr>
          <w:p>
            <w:pPr>
              <w:spacing w:before="0" w:after="0" w:line="240" w:lineRule="auto"/>
            </w:pPr>
            <w:r/>
            <w:r>
              <w:rPr>
                <w:rFonts w:ascii="Calibri" w:hAnsi="Calibri"/>
                <w:b w:val="0"/>
                <w:i w:val="0"/>
                <w:color w:val="111827"/>
                <w:sz w:val="16"/>
              </w:rPr>
              <w:t>[Decision authority]</w:t>
            </w:r>
          </w:p>
        </w:tc>
      </w:tr>
    </w:tbl>
    <w:p>
      <w:pPr>
        <w:spacing w:after="0"/>
      </w:pPr>
    </w:p>
    <w:p>
      <w:bookmarkStart w:id="6" w:name="Operational_metabolism_dashboard_6"/>
      <w:pPr>
        <w:pStyle w:val="Heading2"/>
      </w:pPr>
      <w:r>
        <w:t>Operational-metabolism dashboard</w:t>
      </w:r>
      <w:bookmarkEnd w:id="6"/>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750"/>
        <w:gridCol w:w="2050"/>
        <w:gridCol w:w="2150"/>
        <w:gridCol w:w="2350"/>
        <w:gridCol w:w="1060"/>
      </w:tblGrid>
      <w:tr>
        <w:trPr>
          <w:cantSplit/>
          <w:tblHeader w:val="true"/>
        </w:trPr>
        <w:tc>
          <w:tcPr>
            <w:tcW w:type="dxa" w:w="1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Measure</w:t>
            </w:r>
          </w:p>
        </w:tc>
        <w:tc>
          <w:tcPr>
            <w:tcW w:type="dxa" w:w="20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Planned definition</w:t>
            </w:r>
          </w:p>
        </w:tc>
        <w:tc>
          <w:tcPr>
            <w:tcW w:type="dxa" w:w="21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Observed result</w:t>
            </w:r>
          </w:p>
        </w:tc>
        <w:tc>
          <w:tcPr>
            <w:tcW w:type="dxa" w:w="23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Completeness / limitation</w:t>
            </w:r>
          </w:p>
        </w:tc>
        <w:tc>
          <w:tcPr>
            <w:tcW w:type="dxa" w:w="10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Evidence IDs</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Time</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Cost</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Comprehension</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Paperwork ownership</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Participant burden</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Reviewer workload</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Tabletop disposition latency</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Actual G0 gate latency</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Safeguard contribution and value</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Unresolved disagreement</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Harm caused by delay</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Harm / rupture from rehearsal</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AI-oversight burden</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Measurement burden</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bl>
    <w:p>
      <w:pPr>
        <w:spacing w:after="0"/>
      </w:pPr>
    </w:p>
    <w:p>
      <w:pPr>
        <w:keepNext w:val="0"/>
        <w:spacing w:before="0" w:after="120" w:line="300" w:lineRule="auto"/>
      </w:pPr>
      <w:r>
        <w:rPr>
          <w:rFonts w:ascii="Calibri" w:hAnsi="Calibri"/>
          <w:i w:val="0"/>
          <w:color w:val="111827"/>
          <w:sz w:val="22"/>
        </w:rPr>
        <w:t>Actual G0 gate latency is normally 'Not measured' because this tabletop does not assume a legitimately constituted G0 review. Report the rehearsal disposition timeline separately.</w:t>
      </w:r>
    </w:p>
    <w:p>
      <w:bookmarkStart w:id="7" w:name="Headline_limitations_7"/>
      <w:pPr>
        <w:pStyle w:val="Heading2"/>
      </w:pPr>
      <w:r>
        <w:t>Headline limitations</w:t>
      </w:r>
      <w:bookmarkEnd w:id="7"/>
    </w:p>
    <w:p>
      <w:pPr>
        <w:numPr>
          <w:ilvl w:val="0"/>
          <w:numId w:val="11"/>
        </w:numPr>
        <w:spacing w:after="80" w:line="300" w:lineRule="auto"/>
      </w:pPr>
      <w:r>
        <w:rPr>
          <w:rFonts w:ascii="Calibri" w:hAnsi="Calibri"/>
          <w:color w:val="111827"/>
          <w:sz w:val="22"/>
        </w:rPr>
        <w:t>[Missing affected voices, mandate limits and selection effects]</w:t>
      </w:r>
    </w:p>
    <w:p>
      <w:pPr>
        <w:numPr>
          <w:ilvl w:val="0"/>
          <w:numId w:val="11"/>
        </w:numPr>
        <w:spacing w:after="80" w:line="300" w:lineRule="auto"/>
      </w:pPr>
      <w:r>
        <w:rPr>
          <w:rFonts w:ascii="Calibri" w:hAnsi="Calibri"/>
          <w:color w:val="111827"/>
          <w:sz w:val="22"/>
        </w:rPr>
        <w:t>[Incomplete measurements, unavailable records or denominator limits]</w:t>
      </w:r>
    </w:p>
    <w:p>
      <w:pPr>
        <w:numPr>
          <w:ilvl w:val="0"/>
          <w:numId w:val="11"/>
        </w:numPr>
        <w:spacing w:after="80" w:line="300" w:lineRule="auto"/>
      </w:pPr>
      <w:r>
        <w:rPr>
          <w:rFonts w:ascii="Calibri" w:hAnsi="Calibri"/>
          <w:color w:val="111827"/>
          <w:sz w:val="22"/>
        </w:rPr>
        <w:t>[Conflicts, facilitation effects, privacy limits or small-group re-identification risk]</w:t>
      </w:r>
    </w:p>
    <w:p>
      <w:pPr>
        <w:numPr>
          <w:ilvl w:val="0"/>
          <w:numId w:val="11"/>
        </w:numPr>
        <w:spacing w:after="80" w:line="300" w:lineRule="auto"/>
      </w:pPr>
      <w:r>
        <w:rPr>
          <w:rFonts w:ascii="Calibri" w:hAnsi="Calibri"/>
          <w:color w:val="111827"/>
          <w:sz w:val="22"/>
        </w:rPr>
        <w:t>[What the report cannot support: safety, effectiveness, community-wide authority, G0 qualification or implementation readiness]</w:t>
      </w:r>
    </w:p>
    <w:p>
      <w:bookmarkStart w:id="8" w:name="r_method"/>
      <w:pPr>
        <w:pStyle w:val="Heading1"/>
      </w:pPr>
      <w:r>
        <w:t>4. Purpose, candidate and method</w:t>
      </w:r>
      <w:bookmarkEnd w:id="8"/>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400"/>
        <w:gridCol w:w="6960"/>
      </w:tblGrid>
      <w:tr>
        <w:trPr>
          <w:cantSplit/>
          <w:tblHeader w:val="true"/>
        </w:trPr>
        <w:tc>
          <w:tcPr>
            <w:tcW w:type="dxa" w:w="24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Field</w:t>
            </w:r>
          </w:p>
        </w:tc>
        <w:tc>
          <w:tcPr>
            <w:tcW w:type="dxa" w:w="69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Controlled entry</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i w:val="0"/>
                <w:color w:val="111827"/>
                <w:sz w:val="16"/>
              </w:rPr>
              <w:t>Bounded question</w:t>
            </w:r>
          </w:p>
        </w:tc>
        <w:tc>
          <w:tcPr>
            <w:tcW w:type="dxa" w:w="6960"/>
            <w:tcMar>
              <w:top w:w="80" w:type="dxa"/>
              <w:start w:w="120" w:type="dxa"/>
              <w:bottom w:w="80" w:type="dxa"/>
              <w:end w:w="120" w:type="dxa"/>
            </w:tcMar>
          </w:tcPr>
          <w:p>
            <w:pPr>
              <w:spacing w:before="0" w:after="0" w:line="240" w:lineRule="auto"/>
            </w:pPr>
            <w:r/>
            <w:r>
              <w:rPr>
                <w:rFonts w:ascii="Calibri" w:hAnsi="Calibri"/>
                <w:b w:val="0"/>
                <w:i w:val="0"/>
                <w:color w:val="111827"/>
                <w:sz w:val="16"/>
              </w:rPr>
              <w:t>[Question rehearsed]</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i w:val="0"/>
                <w:color w:val="111827"/>
                <w:sz w:val="16"/>
              </w:rPr>
              <w:t>Why selected</w:t>
            </w:r>
          </w:p>
        </w:tc>
        <w:tc>
          <w:tcPr>
            <w:tcW w:type="dxa" w:w="6960"/>
            <w:tcMar>
              <w:top w:w="80" w:type="dxa"/>
              <w:start w:w="120" w:type="dxa"/>
              <w:bottom w:w="80" w:type="dxa"/>
              <w:end w:w="120" w:type="dxa"/>
            </w:tcMar>
          </w:tcPr>
          <w:p>
            <w:pPr>
              <w:spacing w:before="0" w:after="0" w:line="240" w:lineRule="auto"/>
            </w:pPr>
            <w:r/>
            <w:r>
              <w:rPr>
                <w:rFonts w:ascii="Calibri" w:hAnsi="Calibri"/>
                <w:b w:val="0"/>
                <w:i w:val="0"/>
                <w:color w:val="111827"/>
                <w:sz w:val="16"/>
              </w:rPr>
              <w:t>[Reason and initiator]</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i w:val="0"/>
                <w:color w:val="111827"/>
                <w:sz w:val="16"/>
              </w:rPr>
              <w:t>Intended tests</w:t>
            </w:r>
          </w:p>
        </w:tc>
        <w:tc>
          <w:tcPr>
            <w:tcW w:type="dxa" w:w="6960"/>
            <w:tcMar>
              <w:top w:w="80" w:type="dxa"/>
              <w:start w:w="120" w:type="dxa"/>
              <w:bottom w:w="80" w:type="dxa"/>
              <w:end w:w="120" w:type="dxa"/>
            </w:tcMar>
          </w:tcPr>
          <w:p>
            <w:pPr>
              <w:spacing w:before="0" w:after="0" w:line="240" w:lineRule="auto"/>
            </w:pPr>
            <w:r/>
            <w:r>
              <w:rPr>
                <w:rFonts w:ascii="Calibri" w:hAnsi="Calibri"/>
                <w:b w:val="0"/>
                <w:i w:val="0"/>
                <w:color w:val="111827"/>
                <w:sz w:val="16"/>
              </w:rPr>
              <w:t>[Comprehension, standing, duties, safeguards, burden, urgency, latency and operational feasibility]</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i w:val="0"/>
                <w:color w:val="111827"/>
                <w:sz w:val="16"/>
              </w:rPr>
              <w:t>Outside scope</w:t>
            </w:r>
          </w:p>
        </w:tc>
        <w:tc>
          <w:tcPr>
            <w:tcW w:type="dxa" w:w="6960"/>
            <w:tcMar>
              <w:top w:w="80" w:type="dxa"/>
              <w:start w:w="120" w:type="dxa"/>
              <w:bottom w:w="80" w:type="dxa"/>
              <w:end w:w="120" w:type="dxa"/>
            </w:tcMar>
          </w:tcPr>
          <w:p>
            <w:pPr>
              <w:spacing w:before="0" w:after="0" w:line="240" w:lineRule="auto"/>
            </w:pPr>
            <w:r/>
            <w:r>
              <w:rPr>
                <w:rFonts w:ascii="Calibri" w:hAnsi="Calibri"/>
                <w:b w:val="0"/>
                <w:i w:val="0"/>
                <w:color w:val="111827"/>
                <w:sz w:val="16"/>
              </w:rPr>
              <w:t>[All explicit exclusions]</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i w:val="0"/>
                <w:color w:val="111827"/>
                <w:sz w:val="16"/>
              </w:rPr>
              <w:t>Protocol / Companion provisions</w:t>
            </w:r>
          </w:p>
        </w:tc>
        <w:tc>
          <w:tcPr>
            <w:tcW w:type="dxa" w:w="6960"/>
            <w:tcMar>
              <w:top w:w="80" w:type="dxa"/>
              <w:start w:w="120" w:type="dxa"/>
              <w:bottom w:w="80" w:type="dxa"/>
              <w:end w:w="120" w:type="dxa"/>
            </w:tcMar>
          </w:tcPr>
          <w:p>
            <w:pPr>
              <w:spacing w:before="0" w:after="0" w:line="240" w:lineRule="auto"/>
            </w:pPr>
            <w:r/>
            <w:r>
              <w:rPr>
                <w:rFonts w:ascii="Calibri" w:hAnsi="Calibri"/>
                <w:b w:val="0"/>
                <w:i w:val="0"/>
                <w:color w:val="111827"/>
                <w:sz w:val="16"/>
              </w:rPr>
              <w:t>[Exact provisions exercised]</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i w:val="0"/>
                <w:color w:val="111827"/>
                <w:sz w:val="16"/>
              </w:rPr>
              <w:t>Evidence against proceeding</w:t>
            </w:r>
          </w:p>
        </w:tc>
        <w:tc>
          <w:tcPr>
            <w:tcW w:type="dxa" w:w="6960"/>
            <w:tcMar>
              <w:top w:w="80" w:type="dxa"/>
              <w:start w:w="120" w:type="dxa"/>
              <w:bottom w:w="80" w:type="dxa"/>
              <w:end w:w="120" w:type="dxa"/>
            </w:tcMar>
          </w:tcPr>
          <w:p>
            <w:pPr>
              <w:spacing w:before="0" w:after="0" w:line="240" w:lineRule="auto"/>
            </w:pPr>
            <w:r/>
            <w:r>
              <w:rPr>
                <w:rFonts w:ascii="Calibri" w:hAnsi="Calibri"/>
                <w:b w:val="0"/>
                <w:i w:val="0"/>
                <w:color w:val="111827"/>
                <w:sz w:val="16"/>
              </w:rPr>
              <w:t>[Prespecified disconfirming findings or mandatory holds]</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i w:val="0"/>
                <w:color w:val="111827"/>
                <w:sz w:val="16"/>
              </w:rPr>
              <w:t>Expected unavailable evidence</w:t>
            </w:r>
          </w:p>
        </w:tc>
        <w:tc>
          <w:tcPr>
            <w:tcW w:type="dxa" w:w="6960"/>
            <w:tcMar>
              <w:top w:w="80" w:type="dxa"/>
              <w:start w:w="120" w:type="dxa"/>
              <w:bottom w:w="80" w:type="dxa"/>
              <w:end w:w="120" w:type="dxa"/>
            </w:tcMar>
          </w:tcPr>
          <w:p>
            <w:pPr>
              <w:spacing w:before="0" w:after="0" w:line="240" w:lineRule="auto"/>
            </w:pPr>
            <w:r/>
            <w:r>
              <w:rPr>
                <w:rFonts w:ascii="Calibri" w:hAnsi="Calibri"/>
                <w:b w:val="0"/>
                <w:i w:val="0"/>
                <w:color w:val="111827"/>
                <w:sz w:val="16"/>
              </w:rPr>
              <w:t>[What cannot be generated by Tier 0]</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i w:val="0"/>
                <w:color w:val="111827"/>
                <w:sz w:val="16"/>
              </w:rPr>
              <w:t>Prespecified criteria</w:t>
            </w:r>
          </w:p>
        </w:tc>
        <w:tc>
          <w:tcPr>
            <w:tcW w:type="dxa" w:w="6960"/>
            <w:tcMar>
              <w:top w:w="80" w:type="dxa"/>
              <w:start w:w="120" w:type="dxa"/>
              <w:bottom w:w="80" w:type="dxa"/>
              <w:end w:w="120" w:type="dxa"/>
            </w:tcMar>
          </w:tcPr>
          <w:p>
            <w:pPr>
              <w:spacing w:before="0" w:after="0" w:line="240" w:lineRule="auto"/>
            </w:pPr>
            <w:r/>
            <w:r>
              <w:rPr>
                <w:rFonts w:ascii="Calibri" w:hAnsi="Calibri"/>
                <w:b w:val="0"/>
                <w:i w:val="0"/>
                <w:color w:val="111827"/>
                <w:sz w:val="16"/>
              </w:rPr>
              <w:t>[Measurement and decision criteria fixed before results]</w:t>
            </w:r>
          </w:p>
        </w:tc>
      </w:tr>
    </w:tbl>
    <w:p>
      <w:pPr>
        <w:spacing w:after="0"/>
      </w:pPr>
    </w:p>
    <w:p>
      <w:bookmarkStart w:id="9" w:name="Candidate_boundary_record_9"/>
      <w:pPr>
        <w:pStyle w:val="Heading2"/>
      </w:pPr>
      <w:r>
        <w:t>Candidate boundary record</w:t>
      </w:r>
      <w:bookmarkEnd w:id="9"/>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300"/>
        <w:gridCol w:w="7060"/>
      </w:tblGrid>
      <w:tr>
        <w:trPr>
          <w:cantSplit/>
          <w:tblHeader w:val="true"/>
        </w:trPr>
        <w:tc>
          <w:tcPr>
            <w:tcW w:type="dxa" w:w="23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Field</w:t>
            </w:r>
          </w:p>
        </w:tc>
        <w:tc>
          <w:tcPr>
            <w:tcW w:type="dxa" w:w="70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Controlled entry</w:t>
            </w:r>
          </w:p>
        </w:tc>
      </w:tr>
      <w:tr>
        <w:trPr>
          <w:cantSplit/>
        </w:trPr>
        <w:tc>
          <w:tcPr>
            <w:tcW w:type="dxa" w:w="2300"/>
            <w:tcMar>
              <w:top w:w="80" w:type="dxa"/>
              <w:start w:w="120" w:type="dxa"/>
              <w:bottom w:w="80" w:type="dxa"/>
              <w:end w:w="120" w:type="dxa"/>
            </w:tcMar>
          </w:tcPr>
          <w:p>
            <w:pPr>
              <w:spacing w:before="0" w:after="0" w:line="240" w:lineRule="auto"/>
            </w:pPr>
            <w:r/>
            <w:r>
              <w:rPr>
                <w:rFonts w:ascii="Calibri" w:hAnsi="Calibri"/>
                <w:b/>
                <w:i w:val="0"/>
                <w:color w:val="111827"/>
                <w:sz w:val="16"/>
              </w:rPr>
              <w:t>Candidate description</w:t>
            </w:r>
          </w:p>
        </w:tc>
        <w:tc>
          <w:tcPr>
            <w:tcW w:type="dxa" w:w="7060"/>
            <w:tcMar>
              <w:top w:w="80" w:type="dxa"/>
              <w:start w:w="120" w:type="dxa"/>
              <w:bottom w:w="80" w:type="dxa"/>
              <w:end w:w="120" w:type="dxa"/>
            </w:tcMar>
          </w:tcPr>
          <w:p>
            <w:pPr>
              <w:spacing w:before="0" w:after="0" w:line="240" w:lineRule="auto"/>
            </w:pPr>
            <w:r/>
            <w:r>
              <w:rPr>
                <w:rFonts w:ascii="Calibri" w:hAnsi="Calibri"/>
                <w:b w:val="0"/>
                <w:i w:val="0"/>
                <w:color w:val="111827"/>
                <w:sz w:val="16"/>
              </w:rPr>
              <w:t>[Plain-language, solution-neutral]</w:t>
            </w:r>
          </w:p>
        </w:tc>
      </w:tr>
      <w:tr>
        <w:trPr>
          <w:cantSplit/>
        </w:trPr>
        <w:tc>
          <w:tcPr>
            <w:tcW w:type="dxa" w:w="2300"/>
            <w:tcMar>
              <w:top w:w="80" w:type="dxa"/>
              <w:start w:w="120" w:type="dxa"/>
              <w:bottom w:w="80" w:type="dxa"/>
              <w:end w:w="120" w:type="dxa"/>
            </w:tcMar>
          </w:tcPr>
          <w:p>
            <w:pPr>
              <w:spacing w:before="0" w:after="0" w:line="240" w:lineRule="auto"/>
            </w:pPr>
            <w:r/>
            <w:r>
              <w:rPr>
                <w:rFonts w:ascii="Calibri" w:hAnsi="Calibri"/>
                <w:b/>
                <w:i w:val="0"/>
                <w:color w:val="111827"/>
                <w:sz w:val="16"/>
              </w:rPr>
              <w:t>Scenario source</w:t>
            </w:r>
          </w:p>
        </w:tc>
        <w:tc>
          <w:tcPr>
            <w:tcW w:type="dxa" w:w="7060"/>
            <w:tcMar>
              <w:top w:w="80" w:type="dxa"/>
              <w:start w:w="120" w:type="dxa"/>
              <w:bottom w:w="80" w:type="dxa"/>
              <w:end w:w="120" w:type="dxa"/>
            </w:tcMar>
          </w:tcPr>
          <w:p>
            <w:pPr>
              <w:spacing w:before="0" w:after="0" w:line="240" w:lineRule="auto"/>
            </w:pPr>
            <w:r/>
            <w:r>
              <w:rPr>
                <w:rFonts w:ascii="Calibri" w:hAnsi="Calibri"/>
                <w:b w:val="0"/>
                <w:i w:val="0"/>
                <w:color w:val="111827"/>
                <w:sz w:val="16"/>
              </w:rPr>
              <w:t>[Synthetic / composite / generalized / public historical]</w:t>
            </w:r>
          </w:p>
        </w:tc>
      </w:tr>
      <w:tr>
        <w:trPr>
          <w:cantSplit/>
        </w:trPr>
        <w:tc>
          <w:tcPr>
            <w:tcW w:type="dxa" w:w="2300"/>
            <w:tcMar>
              <w:top w:w="80" w:type="dxa"/>
              <w:start w:w="120" w:type="dxa"/>
              <w:bottom w:w="80" w:type="dxa"/>
              <w:end w:w="120" w:type="dxa"/>
            </w:tcMar>
          </w:tcPr>
          <w:p>
            <w:pPr>
              <w:spacing w:before="0" w:after="0" w:line="240" w:lineRule="auto"/>
            </w:pPr>
            <w:r/>
            <w:r>
              <w:rPr>
                <w:rFonts w:ascii="Calibri" w:hAnsi="Calibri"/>
                <w:b/>
                <w:i w:val="0"/>
                <w:color w:val="111827"/>
                <w:sz w:val="16"/>
              </w:rPr>
              <w:t>Possible future tier</w:t>
            </w:r>
          </w:p>
        </w:tc>
        <w:tc>
          <w:tcPr>
            <w:tcW w:type="dxa" w:w="7060"/>
            <w:tcMar>
              <w:top w:w="80" w:type="dxa"/>
              <w:start w:w="120" w:type="dxa"/>
              <w:bottom w:w="80" w:type="dxa"/>
              <w:end w:w="120" w:type="dxa"/>
            </w:tcMar>
          </w:tcPr>
          <w:p>
            <w:pPr>
              <w:spacing w:before="0" w:after="0" w:line="240" w:lineRule="auto"/>
            </w:pPr>
            <w:r/>
            <w:r>
              <w:rPr>
                <w:rFonts w:ascii="Calibri" w:hAnsi="Calibri"/>
                <w:b w:val="0"/>
                <w:i w:val="0"/>
                <w:color w:val="111827"/>
                <w:sz w:val="16"/>
              </w:rPr>
              <w:t>[If known; not a decision]</w:t>
            </w:r>
          </w:p>
        </w:tc>
      </w:tr>
      <w:tr>
        <w:trPr>
          <w:cantSplit/>
        </w:trPr>
        <w:tc>
          <w:tcPr>
            <w:tcW w:type="dxa" w:w="2300"/>
            <w:tcMar>
              <w:top w:w="80" w:type="dxa"/>
              <w:start w:w="120" w:type="dxa"/>
              <w:bottom w:w="80" w:type="dxa"/>
              <w:end w:w="120" w:type="dxa"/>
            </w:tcMar>
          </w:tcPr>
          <w:p>
            <w:pPr>
              <w:spacing w:before="0" w:after="0" w:line="240" w:lineRule="auto"/>
            </w:pPr>
            <w:r/>
            <w:r>
              <w:rPr>
                <w:rFonts w:ascii="Calibri" w:hAnsi="Calibri"/>
                <w:b/>
                <w:i w:val="0"/>
                <w:color w:val="111827"/>
                <w:sz w:val="16"/>
              </w:rPr>
              <w:t>Material change excluded</w:t>
            </w:r>
          </w:p>
        </w:tc>
        <w:tc>
          <w:tcPr>
            <w:tcW w:type="dxa" w:w="706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00"/>
            <w:tcMar>
              <w:top w:w="80" w:type="dxa"/>
              <w:start w:w="120" w:type="dxa"/>
              <w:bottom w:w="80" w:type="dxa"/>
              <w:end w:w="120" w:type="dxa"/>
            </w:tcMar>
          </w:tcPr>
          <w:p>
            <w:pPr>
              <w:spacing w:before="0" w:after="0" w:line="240" w:lineRule="auto"/>
            </w:pPr>
            <w:r/>
            <w:r>
              <w:rPr>
                <w:rFonts w:ascii="Calibri" w:hAnsi="Calibri"/>
                <w:b/>
                <w:i w:val="0"/>
                <w:color w:val="111827"/>
                <w:sz w:val="16"/>
              </w:rPr>
              <w:t>Data excluded</w:t>
            </w:r>
          </w:p>
        </w:tc>
        <w:tc>
          <w:tcPr>
            <w:tcW w:type="dxa" w:w="706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00"/>
            <w:tcMar>
              <w:top w:w="80" w:type="dxa"/>
              <w:start w:w="120" w:type="dxa"/>
              <w:bottom w:w="80" w:type="dxa"/>
              <w:end w:w="120" w:type="dxa"/>
            </w:tcMar>
          </w:tcPr>
          <w:p>
            <w:pPr>
              <w:spacing w:before="0" w:after="0" w:line="240" w:lineRule="auto"/>
            </w:pPr>
            <w:r/>
            <w:r>
              <w:rPr>
                <w:rFonts w:ascii="Calibri" w:hAnsi="Calibri"/>
                <w:b/>
                <w:i w:val="0"/>
                <w:color w:val="111827"/>
                <w:sz w:val="16"/>
              </w:rPr>
              <w:t>AI excluded</w:t>
            </w:r>
          </w:p>
        </w:tc>
        <w:tc>
          <w:tcPr>
            <w:tcW w:type="dxa" w:w="706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00"/>
            <w:tcMar>
              <w:top w:w="80" w:type="dxa"/>
              <w:start w:w="120" w:type="dxa"/>
              <w:bottom w:w="80" w:type="dxa"/>
              <w:end w:w="120" w:type="dxa"/>
            </w:tcMar>
          </w:tcPr>
          <w:p>
            <w:pPr>
              <w:spacing w:before="0" w:after="0" w:line="240" w:lineRule="auto"/>
            </w:pPr>
            <w:r/>
            <w:r>
              <w:rPr>
                <w:rFonts w:ascii="Calibri" w:hAnsi="Calibri"/>
                <w:b/>
                <w:i w:val="0"/>
                <w:color w:val="111827"/>
                <w:sz w:val="16"/>
              </w:rPr>
              <w:t>Rehearsal protection</w:t>
            </w:r>
          </w:p>
        </w:tc>
        <w:tc>
          <w:tcPr>
            <w:tcW w:type="dxa" w:w="7060"/>
            <w:tcMar>
              <w:top w:w="80" w:type="dxa"/>
              <w:start w:w="120" w:type="dxa"/>
              <w:bottom w:w="80" w:type="dxa"/>
              <w:end w:w="120" w:type="dxa"/>
            </w:tcMar>
          </w:tcPr>
          <w:p>
            <w:pPr>
              <w:spacing w:before="0" w:after="0" w:line="240" w:lineRule="auto"/>
            </w:pPr>
            <w:r/>
            <w:r>
              <w:rPr>
                <w:rFonts w:ascii="Calibri" w:hAnsi="Calibri"/>
                <w:b w:val="0"/>
                <w:i w:val="0"/>
                <w:color w:val="111827"/>
                <w:sz w:val="16"/>
              </w:rPr>
              <w:t>[Access, confidentiality, pause, support and remedy provisions]</w:t>
            </w:r>
          </w:p>
        </w:tc>
      </w:tr>
      <w:tr>
        <w:trPr>
          <w:cantSplit/>
        </w:trPr>
        <w:tc>
          <w:tcPr>
            <w:tcW w:type="dxa" w:w="2300"/>
            <w:tcMar>
              <w:top w:w="80" w:type="dxa"/>
              <w:start w:w="120" w:type="dxa"/>
              <w:bottom w:w="80" w:type="dxa"/>
              <w:end w:w="120" w:type="dxa"/>
            </w:tcMar>
          </w:tcPr>
          <w:p>
            <w:pPr>
              <w:spacing w:before="0" w:after="0" w:line="240" w:lineRule="auto"/>
            </w:pPr>
            <w:r/>
            <w:r>
              <w:rPr>
                <w:rFonts w:ascii="Calibri" w:hAnsi="Calibri"/>
                <w:b/>
                <w:i w:val="0"/>
                <w:color w:val="111827"/>
                <w:sz w:val="16"/>
              </w:rPr>
              <w:t>Start / stop boundary</w:t>
            </w:r>
          </w:p>
        </w:tc>
        <w:tc>
          <w:tcPr>
            <w:tcW w:type="dxa" w:w="706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00"/>
            <w:tcMar>
              <w:top w:w="80" w:type="dxa"/>
              <w:start w:w="120" w:type="dxa"/>
              <w:bottom w:w="80" w:type="dxa"/>
              <w:end w:w="120" w:type="dxa"/>
            </w:tcMar>
          </w:tcPr>
          <w:p>
            <w:pPr>
              <w:spacing w:before="0" w:after="0" w:line="240" w:lineRule="auto"/>
            </w:pPr>
            <w:r/>
            <w:r>
              <w:rPr>
                <w:rFonts w:ascii="Calibri" w:hAnsi="Calibri"/>
                <w:b/>
                <w:i w:val="0"/>
                <w:color w:val="111827"/>
                <w:sz w:val="16"/>
              </w:rPr>
              <w:t>Immediate-pause conditions</w:t>
            </w:r>
          </w:p>
        </w:tc>
        <w:tc>
          <w:tcPr>
            <w:tcW w:type="dxa" w:w="706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bl>
    <w:p>
      <w:pPr>
        <w:spacing w:after="0"/>
      </w:pPr>
    </w:p>
    <w:p>
      <w:bookmarkStart w:id="10" w:name="Method_and_conduct_10"/>
      <w:pPr>
        <w:pStyle w:val="Heading2"/>
      </w:pPr>
      <w:r>
        <w:t>Method and conduct</w:t>
      </w:r>
      <w:bookmarkEnd w:id="10"/>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200"/>
        <w:gridCol w:w="7160"/>
      </w:tblGrid>
      <w:tr>
        <w:trPr>
          <w:cantSplit/>
          <w:tblHeader w:val="true"/>
        </w:trPr>
        <w:tc>
          <w:tcPr>
            <w:tcW w:type="dxa" w:w="22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Field</w:t>
            </w:r>
          </w:p>
        </w:tc>
        <w:tc>
          <w:tcPr>
            <w:tcW w:type="dxa" w:w="71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Controlled entry</w:t>
            </w:r>
          </w:p>
        </w:tc>
      </w:tr>
      <w:tr>
        <w:trPr>
          <w:cantSplit/>
        </w:trPr>
        <w:tc>
          <w:tcPr>
            <w:tcW w:type="dxa" w:w="2200"/>
            <w:tcMar>
              <w:top w:w="80" w:type="dxa"/>
              <w:start w:w="120" w:type="dxa"/>
              <w:bottom w:w="80" w:type="dxa"/>
              <w:end w:w="120" w:type="dxa"/>
            </w:tcMar>
          </w:tcPr>
          <w:p>
            <w:pPr>
              <w:spacing w:before="0" w:after="0" w:line="240" w:lineRule="auto"/>
            </w:pPr>
            <w:r/>
            <w:r>
              <w:rPr>
                <w:rFonts w:ascii="Calibri" w:hAnsi="Calibri"/>
                <w:b/>
                <w:i w:val="0"/>
                <w:color w:val="111827"/>
                <w:sz w:val="16"/>
              </w:rPr>
              <w:t>Agenda / actual timing</w:t>
            </w:r>
          </w:p>
        </w:tc>
        <w:tc>
          <w:tcPr>
            <w:tcW w:type="dxa" w:w="7160"/>
            <w:tcMar>
              <w:top w:w="80" w:type="dxa"/>
              <w:start w:w="120" w:type="dxa"/>
              <w:bottom w:w="80" w:type="dxa"/>
              <w:end w:w="120" w:type="dxa"/>
            </w:tcMar>
          </w:tcPr>
          <w:p>
            <w:pPr>
              <w:spacing w:before="0" w:after="0" w:line="240" w:lineRule="auto"/>
            </w:pPr>
            <w:r/>
            <w:r>
              <w:rPr>
                <w:rFonts w:ascii="Calibri" w:hAnsi="Calibri"/>
                <w:b w:val="0"/>
                <w:i w:val="0"/>
                <w:color w:val="111827"/>
                <w:sz w:val="16"/>
              </w:rPr>
              <w:t>[Version and deviations]</w:t>
            </w:r>
          </w:p>
        </w:tc>
      </w:tr>
      <w:tr>
        <w:trPr>
          <w:cantSplit/>
        </w:trPr>
        <w:tc>
          <w:tcPr>
            <w:tcW w:type="dxa" w:w="2200"/>
            <w:tcMar>
              <w:top w:w="80" w:type="dxa"/>
              <w:start w:w="120" w:type="dxa"/>
              <w:bottom w:w="80" w:type="dxa"/>
              <w:end w:w="120" w:type="dxa"/>
            </w:tcMar>
          </w:tcPr>
          <w:p>
            <w:pPr>
              <w:spacing w:before="0" w:after="0" w:line="240" w:lineRule="auto"/>
            </w:pPr>
            <w:r/>
            <w:r>
              <w:rPr>
                <w:rFonts w:ascii="Calibri" w:hAnsi="Calibri"/>
                <w:b/>
                <w:i w:val="0"/>
                <w:color w:val="111827"/>
                <w:sz w:val="16"/>
              </w:rPr>
              <w:t>Facilitation method</w:t>
            </w:r>
          </w:p>
        </w:tc>
        <w:tc>
          <w:tcPr>
            <w:tcW w:type="dxa" w:w="716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200"/>
            <w:tcMar>
              <w:top w:w="80" w:type="dxa"/>
              <w:start w:w="120" w:type="dxa"/>
              <w:bottom w:w="80" w:type="dxa"/>
              <w:end w:w="120" w:type="dxa"/>
            </w:tcMar>
          </w:tcPr>
          <w:p>
            <w:pPr>
              <w:spacing w:before="0" w:after="0" w:line="240" w:lineRule="auto"/>
            </w:pPr>
            <w:r/>
            <w:r>
              <w:rPr>
                <w:rFonts w:ascii="Calibri" w:hAnsi="Calibri"/>
                <w:b/>
                <w:i w:val="0"/>
                <w:color w:val="111827"/>
                <w:sz w:val="16"/>
              </w:rPr>
              <w:t>Role cards / injects</w:t>
            </w:r>
          </w:p>
        </w:tc>
        <w:tc>
          <w:tcPr>
            <w:tcW w:type="dxa" w:w="7160"/>
            <w:tcMar>
              <w:top w:w="80" w:type="dxa"/>
              <w:start w:w="120" w:type="dxa"/>
              <w:bottom w:w="80" w:type="dxa"/>
              <w:end w:w="120" w:type="dxa"/>
            </w:tcMar>
          </w:tcPr>
          <w:p>
            <w:pPr>
              <w:spacing w:before="0" w:after="0" w:line="240" w:lineRule="auto"/>
            </w:pPr>
            <w:r/>
            <w:r>
              <w:rPr>
                <w:rFonts w:ascii="Calibri" w:hAnsi="Calibri"/>
                <w:b w:val="0"/>
                <w:i w:val="0"/>
                <w:color w:val="111827"/>
                <w:sz w:val="16"/>
              </w:rPr>
              <w:t>[Versions used]</w:t>
            </w:r>
          </w:p>
        </w:tc>
      </w:tr>
      <w:tr>
        <w:trPr>
          <w:cantSplit/>
        </w:trPr>
        <w:tc>
          <w:tcPr>
            <w:tcW w:type="dxa" w:w="2200"/>
            <w:tcMar>
              <w:top w:w="80" w:type="dxa"/>
              <w:start w:w="120" w:type="dxa"/>
              <w:bottom w:w="80" w:type="dxa"/>
              <w:end w:w="120" w:type="dxa"/>
            </w:tcMar>
          </w:tcPr>
          <w:p>
            <w:pPr>
              <w:spacing w:before="0" w:after="0" w:line="240" w:lineRule="auto"/>
            </w:pPr>
            <w:r/>
            <w:r>
              <w:rPr>
                <w:rFonts w:ascii="Calibri" w:hAnsi="Calibri"/>
                <w:b/>
                <w:i w:val="0"/>
                <w:color w:val="111827"/>
                <w:sz w:val="16"/>
              </w:rPr>
              <w:t>Explain-back</w:t>
            </w:r>
          </w:p>
        </w:tc>
        <w:tc>
          <w:tcPr>
            <w:tcW w:type="dxa" w:w="7160"/>
            <w:tcMar>
              <w:top w:w="80" w:type="dxa"/>
              <w:start w:w="120" w:type="dxa"/>
              <w:bottom w:w="80" w:type="dxa"/>
              <w:end w:w="120" w:type="dxa"/>
            </w:tcMar>
          </w:tcPr>
          <w:p>
            <w:pPr>
              <w:spacing w:before="0" w:after="0" w:line="240" w:lineRule="auto"/>
            </w:pPr>
            <w:r/>
            <w:r>
              <w:rPr>
                <w:rFonts w:ascii="Calibri" w:hAnsi="Calibri"/>
                <w:b w:val="0"/>
                <w:i w:val="0"/>
                <w:color w:val="111827"/>
                <w:sz w:val="16"/>
              </w:rPr>
              <w:t>[Method, language/format and record location]</w:t>
            </w:r>
          </w:p>
        </w:tc>
      </w:tr>
      <w:tr>
        <w:trPr>
          <w:cantSplit/>
        </w:trPr>
        <w:tc>
          <w:tcPr>
            <w:tcW w:type="dxa" w:w="2200"/>
            <w:tcMar>
              <w:top w:w="80" w:type="dxa"/>
              <w:start w:w="120" w:type="dxa"/>
              <w:bottom w:w="80" w:type="dxa"/>
              <w:end w:w="120" w:type="dxa"/>
            </w:tcMar>
          </w:tcPr>
          <w:p>
            <w:pPr>
              <w:spacing w:before="0" w:after="0" w:line="240" w:lineRule="auto"/>
            </w:pPr>
            <w:r/>
            <w:r>
              <w:rPr>
                <w:rFonts w:ascii="Calibri" w:hAnsi="Calibri"/>
                <w:b/>
                <w:i w:val="0"/>
                <w:color w:val="111827"/>
                <w:sz w:val="16"/>
              </w:rPr>
              <w:t>Burden instruments</w:t>
            </w:r>
          </w:p>
        </w:tc>
        <w:tc>
          <w:tcPr>
            <w:tcW w:type="dxa" w:w="7160"/>
            <w:tcMar>
              <w:top w:w="80" w:type="dxa"/>
              <w:start w:w="120" w:type="dxa"/>
              <w:bottom w:w="80" w:type="dxa"/>
              <w:end w:w="120" w:type="dxa"/>
            </w:tcMar>
          </w:tcPr>
          <w:p>
            <w:pPr>
              <w:spacing w:before="0" w:after="0" w:line="240" w:lineRule="auto"/>
            </w:pPr>
            <w:r/>
            <w:r>
              <w:rPr>
                <w:rFonts w:ascii="Calibri" w:hAnsi="Calibri"/>
                <w:b w:val="0"/>
                <w:i w:val="0"/>
                <w:color w:val="111827"/>
                <w:sz w:val="16"/>
              </w:rPr>
              <w:t>[Methods and optionality]</w:t>
            </w:r>
          </w:p>
        </w:tc>
      </w:tr>
      <w:tr>
        <w:trPr>
          <w:cantSplit/>
        </w:trPr>
        <w:tc>
          <w:tcPr>
            <w:tcW w:type="dxa" w:w="2200"/>
            <w:tcMar>
              <w:top w:w="80" w:type="dxa"/>
              <w:start w:w="120" w:type="dxa"/>
              <w:bottom w:w="80" w:type="dxa"/>
              <w:end w:w="120" w:type="dxa"/>
            </w:tcMar>
          </w:tcPr>
          <w:p>
            <w:pPr>
              <w:spacing w:before="0" w:after="0" w:line="240" w:lineRule="auto"/>
            </w:pPr>
            <w:r/>
            <w:r>
              <w:rPr>
                <w:rFonts w:ascii="Calibri" w:hAnsi="Calibri"/>
                <w:b/>
                <w:i w:val="0"/>
                <w:color w:val="111827"/>
                <w:sz w:val="16"/>
              </w:rPr>
              <w:t>Metabolism Ledger</w:t>
            </w:r>
          </w:p>
        </w:tc>
        <w:tc>
          <w:tcPr>
            <w:tcW w:type="dxa" w:w="7160"/>
            <w:tcMar>
              <w:top w:w="80" w:type="dxa"/>
              <w:start w:w="120" w:type="dxa"/>
              <w:bottom w:w="80" w:type="dxa"/>
              <w:end w:w="120" w:type="dxa"/>
            </w:tcMar>
          </w:tcPr>
          <w:p>
            <w:pPr>
              <w:spacing w:before="0" w:after="0" w:line="240" w:lineRule="auto"/>
            </w:pPr>
            <w:r/>
            <w:r>
              <w:rPr>
                <w:rFonts w:ascii="Calibri" w:hAnsi="Calibri"/>
                <w:b w:val="0"/>
                <w:i w:val="0"/>
                <w:color w:val="111827"/>
                <w:sz w:val="16"/>
              </w:rPr>
              <w:t>[Opened when; owner; definitions]</w:t>
            </w:r>
          </w:p>
        </w:tc>
      </w:tr>
      <w:tr>
        <w:trPr>
          <w:cantSplit/>
        </w:trPr>
        <w:tc>
          <w:tcPr>
            <w:tcW w:type="dxa" w:w="2200"/>
            <w:tcMar>
              <w:top w:w="80" w:type="dxa"/>
              <w:start w:w="120" w:type="dxa"/>
              <w:bottom w:w="80" w:type="dxa"/>
              <w:end w:w="120" w:type="dxa"/>
            </w:tcMar>
          </w:tcPr>
          <w:p>
            <w:pPr>
              <w:spacing w:before="0" w:after="0" w:line="240" w:lineRule="auto"/>
            </w:pPr>
            <w:r/>
            <w:r>
              <w:rPr>
                <w:rFonts w:ascii="Calibri" w:hAnsi="Calibri"/>
                <w:b/>
                <w:i w:val="0"/>
                <w:color w:val="111827"/>
                <w:sz w:val="16"/>
              </w:rPr>
              <w:t>Independent observation</w:t>
            </w:r>
          </w:p>
        </w:tc>
        <w:tc>
          <w:tcPr>
            <w:tcW w:type="dxa" w:w="7160"/>
            <w:tcMar>
              <w:top w:w="80" w:type="dxa"/>
              <w:start w:w="120" w:type="dxa"/>
              <w:bottom w:w="80" w:type="dxa"/>
              <w:end w:w="120" w:type="dxa"/>
            </w:tcMar>
          </w:tcPr>
          <w:p>
            <w:pPr>
              <w:spacing w:before="0" w:after="0" w:line="240" w:lineRule="auto"/>
            </w:pPr>
            <w:r/>
            <w:r>
              <w:rPr>
                <w:rFonts w:ascii="Calibri" w:hAnsi="Calibri"/>
                <w:b w:val="0"/>
                <w:i w:val="0"/>
                <w:color w:val="111827"/>
                <w:sz w:val="16"/>
              </w:rPr>
              <w:t>[Method and limits]</w:t>
            </w:r>
          </w:p>
        </w:tc>
      </w:tr>
      <w:tr>
        <w:trPr>
          <w:cantSplit/>
        </w:trPr>
        <w:tc>
          <w:tcPr>
            <w:tcW w:type="dxa" w:w="2200"/>
            <w:tcMar>
              <w:top w:w="80" w:type="dxa"/>
              <w:start w:w="120" w:type="dxa"/>
              <w:bottom w:w="80" w:type="dxa"/>
              <w:end w:w="120" w:type="dxa"/>
            </w:tcMar>
          </w:tcPr>
          <w:p>
            <w:pPr>
              <w:spacing w:before="0" w:after="0" w:line="240" w:lineRule="auto"/>
            </w:pPr>
            <w:r/>
            <w:r>
              <w:rPr>
                <w:rFonts w:ascii="Calibri" w:hAnsi="Calibri"/>
                <w:b/>
                <w:i w:val="0"/>
                <w:color w:val="111827"/>
                <w:sz w:val="16"/>
              </w:rPr>
              <w:t>Rupture channels</w:t>
            </w:r>
          </w:p>
        </w:tc>
        <w:tc>
          <w:tcPr>
            <w:tcW w:type="dxa" w:w="7160"/>
            <w:tcMar>
              <w:top w:w="80" w:type="dxa"/>
              <w:start w:w="120" w:type="dxa"/>
              <w:bottom w:w="80" w:type="dxa"/>
              <w:end w:w="120" w:type="dxa"/>
            </w:tcMar>
          </w:tcPr>
          <w:p>
            <w:pPr>
              <w:spacing w:before="0" w:after="0" w:line="240" w:lineRule="auto"/>
            </w:pPr>
            <w:r/>
            <w:r>
              <w:rPr>
                <w:rFonts w:ascii="Calibri" w:hAnsi="Calibri"/>
                <w:b w:val="0"/>
                <w:i w:val="0"/>
                <w:color w:val="111827"/>
                <w:sz w:val="16"/>
              </w:rPr>
              <w:t>[How made accessible and independent]</w:t>
            </w:r>
          </w:p>
        </w:tc>
      </w:tr>
      <w:tr>
        <w:trPr>
          <w:cantSplit/>
        </w:trPr>
        <w:tc>
          <w:tcPr>
            <w:tcW w:type="dxa" w:w="2200"/>
            <w:tcMar>
              <w:top w:w="80" w:type="dxa"/>
              <w:start w:w="120" w:type="dxa"/>
              <w:bottom w:w="80" w:type="dxa"/>
              <w:end w:w="120" w:type="dxa"/>
            </w:tcMar>
          </w:tcPr>
          <w:p>
            <w:pPr>
              <w:spacing w:before="0" w:after="0" w:line="240" w:lineRule="auto"/>
            </w:pPr>
            <w:r/>
            <w:r>
              <w:rPr>
                <w:rFonts w:ascii="Calibri" w:hAnsi="Calibri"/>
                <w:b/>
                <w:i w:val="0"/>
                <w:color w:val="111827"/>
                <w:sz w:val="16"/>
              </w:rPr>
              <w:t>Participant factual review</w:t>
            </w:r>
          </w:p>
        </w:tc>
        <w:tc>
          <w:tcPr>
            <w:tcW w:type="dxa" w:w="7160"/>
            <w:tcMar>
              <w:top w:w="80" w:type="dxa"/>
              <w:start w:w="120" w:type="dxa"/>
              <w:bottom w:w="80" w:type="dxa"/>
              <w:end w:w="120" w:type="dxa"/>
            </w:tcMar>
          </w:tcPr>
          <w:p>
            <w:pPr>
              <w:spacing w:before="0" w:after="0" w:line="240" w:lineRule="auto"/>
            </w:pPr>
            <w:r/>
            <w:r>
              <w:rPr>
                <w:rFonts w:ascii="Calibri" w:hAnsi="Calibri"/>
                <w:b w:val="0"/>
                <w:i w:val="0"/>
                <w:color w:val="111827"/>
                <w:sz w:val="16"/>
              </w:rPr>
              <w:t>[Process, payment and timetable]</w:t>
            </w:r>
          </w:p>
        </w:tc>
      </w:tr>
      <w:tr>
        <w:trPr>
          <w:cantSplit/>
        </w:trPr>
        <w:tc>
          <w:tcPr>
            <w:tcW w:type="dxa" w:w="2200"/>
            <w:tcMar>
              <w:top w:w="80" w:type="dxa"/>
              <w:start w:w="120" w:type="dxa"/>
              <w:bottom w:w="80" w:type="dxa"/>
              <w:end w:w="120" w:type="dxa"/>
            </w:tcMar>
          </w:tcPr>
          <w:p>
            <w:pPr>
              <w:spacing w:before="0" w:after="0" w:line="240" w:lineRule="auto"/>
            </w:pPr>
            <w:r/>
            <w:r>
              <w:rPr>
                <w:rFonts w:ascii="Calibri" w:hAnsi="Calibri"/>
                <w:b/>
                <w:i w:val="0"/>
                <w:color w:val="111827"/>
                <w:sz w:val="16"/>
              </w:rPr>
              <w:t>Missing data</w:t>
            </w:r>
          </w:p>
        </w:tc>
        <w:tc>
          <w:tcPr>
            <w:tcW w:type="dxa" w:w="716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200"/>
            <w:tcMar>
              <w:top w:w="80" w:type="dxa"/>
              <w:start w:w="120" w:type="dxa"/>
              <w:bottom w:w="80" w:type="dxa"/>
              <w:end w:w="120" w:type="dxa"/>
            </w:tcMar>
          </w:tcPr>
          <w:p>
            <w:pPr>
              <w:spacing w:before="0" w:after="0" w:line="240" w:lineRule="auto"/>
            </w:pPr>
            <w:r/>
            <w:r>
              <w:rPr>
                <w:rFonts w:ascii="Calibri" w:hAnsi="Calibri"/>
                <w:b/>
                <w:i w:val="0"/>
                <w:color w:val="111827"/>
                <w:sz w:val="16"/>
              </w:rPr>
              <w:t>Post hoc criteria</w:t>
            </w:r>
          </w:p>
        </w:tc>
        <w:tc>
          <w:tcPr>
            <w:tcW w:type="dxa" w:w="7160"/>
            <w:tcMar>
              <w:top w:w="80" w:type="dxa"/>
              <w:start w:w="120" w:type="dxa"/>
              <w:bottom w:w="80" w:type="dxa"/>
              <w:end w:w="120" w:type="dxa"/>
            </w:tcMar>
          </w:tcPr>
          <w:p>
            <w:pPr>
              <w:spacing w:before="0" w:after="0" w:line="240" w:lineRule="auto"/>
            </w:pPr>
            <w:r/>
            <w:r>
              <w:rPr>
                <w:rFonts w:ascii="Calibri" w:hAnsi="Calibri"/>
                <w:b w:val="0"/>
                <w:i w:val="0"/>
                <w:color w:val="111827"/>
                <w:sz w:val="16"/>
              </w:rPr>
              <w:t>[None, or clearly label criteria added after results]</w:t>
            </w:r>
          </w:p>
        </w:tc>
      </w:tr>
    </w:tbl>
    <w:p>
      <w:pPr>
        <w:spacing w:after="0"/>
      </w:pPr>
    </w:p>
    <w:p>
      <w:bookmarkStart w:id="11" w:name="r_governance"/>
      <w:pPr>
        <w:pStyle w:val="Heading1"/>
      </w:pPr>
      <w:r>
        <w:t>5. Governance, participation and standing</w:t>
      </w:r>
      <w:bookmarkEnd w:id="11"/>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250"/>
        <w:gridCol w:w="7110"/>
      </w:tblGrid>
      <w:tr>
        <w:trPr>
          <w:cantSplit/>
          <w:tblHeader w:val="true"/>
        </w:trPr>
        <w:tc>
          <w:tcPr>
            <w:tcW w:type="dxa" w:w="22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Field</w:t>
            </w:r>
          </w:p>
        </w:tc>
        <w:tc>
          <w:tcPr>
            <w:tcW w:type="dxa" w:w="71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Controlled entry</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i w:val="0"/>
                <w:color w:val="111827"/>
                <w:sz w:val="16"/>
              </w:rPr>
              <w:t>Activity determination</w:t>
            </w:r>
          </w:p>
        </w:tc>
        <w:tc>
          <w:tcPr>
            <w:tcW w:type="dxa" w:w="7110"/>
            <w:tcMar>
              <w:top w:w="80" w:type="dxa"/>
              <w:start w:w="120" w:type="dxa"/>
              <w:bottom w:w="80" w:type="dxa"/>
              <w:end w:w="120" w:type="dxa"/>
            </w:tcMar>
          </w:tcPr>
          <w:p>
            <w:pPr>
              <w:spacing w:before="0" w:after="0" w:line="240" w:lineRule="auto"/>
            </w:pPr>
            <w:r/>
            <w:r>
              <w:rPr>
                <w:rFonts w:ascii="Calibri" w:hAnsi="Calibri"/>
                <w:b w:val="0"/>
                <w:i w:val="0"/>
                <w:color w:val="111827"/>
                <w:sz w:val="16"/>
              </w:rPr>
              <w:t>[Classification, determining authority, date and reference]</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i w:val="0"/>
                <w:color w:val="111827"/>
                <w:sz w:val="16"/>
              </w:rPr>
              <w:t>Consent / agreement</w:t>
            </w:r>
          </w:p>
        </w:tc>
        <w:tc>
          <w:tcPr>
            <w:tcW w:type="dxa" w:w="7110"/>
            <w:tcMar>
              <w:top w:w="80" w:type="dxa"/>
              <w:start w:w="120" w:type="dxa"/>
              <w:bottom w:w="80" w:type="dxa"/>
              <w:end w:w="120" w:type="dxa"/>
            </w:tcMar>
          </w:tcPr>
          <w:p>
            <w:pPr>
              <w:spacing w:before="0" w:after="0" w:line="240" w:lineRule="auto"/>
            </w:pPr>
            <w:r/>
            <w:r>
              <w:rPr>
                <w:rFonts w:ascii="Calibri" w:hAnsi="Calibri"/>
                <w:b w:val="0"/>
                <w:i w:val="0"/>
                <w:color w:val="111827"/>
                <w:sz w:val="16"/>
              </w:rPr>
              <w:t>[Process and separate choices]</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i w:val="0"/>
                <w:color w:val="111827"/>
                <w:sz w:val="16"/>
              </w:rPr>
              <w:t>Privacy assessment</w:t>
            </w:r>
          </w:p>
        </w:tc>
        <w:tc>
          <w:tcPr>
            <w:tcW w:type="dxa" w:w="7110"/>
            <w:tcMar>
              <w:top w:w="80" w:type="dxa"/>
              <w:start w:w="120" w:type="dxa"/>
              <w:bottom w:w="80" w:type="dxa"/>
              <w:end w:w="120" w:type="dxa"/>
            </w:tcMar>
          </w:tcPr>
          <w:p>
            <w:pPr>
              <w:spacing w:before="0" w:after="0" w:line="240" w:lineRule="auto"/>
            </w:pPr>
            <w:r/>
            <w:r>
              <w:rPr>
                <w:rFonts w:ascii="Calibri" w:hAnsi="Calibri"/>
                <w:b w:val="0"/>
                <w:i w:val="0"/>
                <w:color w:val="111827"/>
                <w:sz w:val="16"/>
              </w:rPr>
              <w:t>[Reference and material conditions]</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i w:val="0"/>
                <w:color w:val="111827"/>
                <w:sz w:val="16"/>
              </w:rPr>
              <w:t>Data minimization</w:t>
            </w:r>
          </w:p>
        </w:tc>
        <w:tc>
          <w:tcPr>
            <w:tcW w:type="dxa" w:w="7110"/>
            <w:tcMar>
              <w:top w:w="80" w:type="dxa"/>
              <w:start w:w="120" w:type="dxa"/>
              <w:bottom w:w="80" w:type="dxa"/>
              <w:end w:w="120" w:type="dxa"/>
            </w:tcMar>
          </w:tcPr>
          <w:p>
            <w:pPr>
              <w:spacing w:before="0" w:after="0" w:line="240" w:lineRule="auto"/>
            </w:pPr>
            <w:r/>
            <w:r>
              <w:rPr>
                <w:rFonts w:ascii="Calibri" w:hAnsi="Calibri"/>
                <w:b w:val="0"/>
                <w:i w:val="0"/>
                <w:color w:val="111827"/>
                <w:sz w:val="16"/>
              </w:rPr>
              <w:t>[What was and was not retained]</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i w:val="0"/>
                <w:color w:val="111827"/>
                <w:sz w:val="16"/>
              </w:rPr>
              <w:t>Recording</w:t>
            </w:r>
          </w:p>
        </w:tc>
        <w:tc>
          <w:tcPr>
            <w:tcW w:type="dxa" w:w="7110"/>
            <w:tcMar>
              <w:top w:w="80" w:type="dxa"/>
              <w:start w:w="120" w:type="dxa"/>
              <w:bottom w:w="80" w:type="dxa"/>
              <w:end w:w="120" w:type="dxa"/>
            </w:tcMar>
          </w:tcPr>
          <w:p>
            <w:pPr>
              <w:spacing w:before="0" w:after="0" w:line="240" w:lineRule="auto"/>
            </w:pPr>
            <w:r/>
            <w:r>
              <w:rPr>
                <w:rFonts w:ascii="Calibri" w:hAnsi="Calibri"/>
                <w:b w:val="0"/>
                <w:i w:val="0"/>
                <w:color w:val="111827"/>
                <w:sz w:val="16"/>
              </w:rPr>
              <w:t>[None by default; if any, separate authority and purpose]</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i w:val="0"/>
                <w:color w:val="111827"/>
                <w:sz w:val="16"/>
              </w:rPr>
              <w:t>Retention / deletion</w:t>
            </w:r>
          </w:p>
        </w:tc>
        <w:tc>
          <w:tcPr>
            <w:tcW w:type="dxa" w:w="7110"/>
            <w:tcMar>
              <w:top w:w="80" w:type="dxa"/>
              <w:start w:w="120" w:type="dxa"/>
              <w:bottom w:w="80" w:type="dxa"/>
              <w:end w:w="120" w:type="dxa"/>
            </w:tcMar>
          </w:tcPr>
          <w:p>
            <w:pPr>
              <w:spacing w:before="0" w:after="0" w:line="240" w:lineRule="auto"/>
            </w:pPr>
            <w:r/>
            <w:r>
              <w:rPr>
                <w:rFonts w:ascii="Calibri" w:hAnsi="Calibri"/>
                <w:b w:val="0"/>
                <w:i w:val="0"/>
                <w:color w:val="111827"/>
                <w:sz w:val="16"/>
              </w:rPr>
              <w:t>[Dates, exceptions and owner]</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i w:val="0"/>
                <w:color w:val="111827"/>
                <w:sz w:val="16"/>
              </w:rPr>
              <w:t>Complaint / aftercare</w:t>
            </w:r>
          </w:p>
        </w:tc>
        <w:tc>
          <w:tcPr>
            <w:tcW w:type="dxa" w:w="7110"/>
            <w:tcMar>
              <w:top w:w="80" w:type="dxa"/>
              <w:start w:w="120" w:type="dxa"/>
              <w:bottom w:w="80" w:type="dxa"/>
              <w:end w:w="120" w:type="dxa"/>
            </w:tcMar>
          </w:tcPr>
          <w:p>
            <w:pPr>
              <w:spacing w:before="0" w:after="0" w:line="240" w:lineRule="auto"/>
            </w:pPr>
            <w:r/>
            <w:r>
              <w:rPr>
                <w:rFonts w:ascii="Calibri" w:hAnsi="Calibri"/>
                <w:b w:val="0"/>
                <w:i w:val="0"/>
                <w:color w:val="111827"/>
                <w:sz w:val="16"/>
              </w:rPr>
              <w:t>[Routes, owner and response standard]</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i w:val="0"/>
                <w:color w:val="111827"/>
                <w:sz w:val="16"/>
              </w:rPr>
              <w:t>Conflicts</w:t>
            </w:r>
          </w:p>
        </w:tc>
        <w:tc>
          <w:tcPr>
            <w:tcW w:type="dxa" w:w="7110"/>
            <w:tcMar>
              <w:top w:w="80" w:type="dxa"/>
              <w:start w:w="120" w:type="dxa"/>
              <w:bottom w:w="80" w:type="dxa"/>
              <w:end w:w="120" w:type="dxa"/>
            </w:tcMar>
          </w:tcPr>
          <w:p>
            <w:pPr>
              <w:spacing w:before="0" w:after="0" w:line="240" w:lineRule="auto"/>
            </w:pPr>
            <w:r/>
            <w:r>
              <w:rPr>
                <w:rFonts w:ascii="Calibri" w:hAnsi="Calibri"/>
                <w:b w:val="0"/>
                <w:i w:val="0"/>
                <w:color w:val="111827"/>
                <w:sz w:val="16"/>
              </w:rPr>
              <w:t>[Host, sponsor, facilitator, reviewer, duty-bearer and vendor conflicts]</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i w:val="0"/>
                <w:color w:val="111827"/>
                <w:sz w:val="16"/>
              </w:rPr>
              <w:t>AI-use declaration</w:t>
            </w:r>
          </w:p>
        </w:tc>
        <w:tc>
          <w:tcPr>
            <w:tcW w:type="dxa" w:w="7110"/>
            <w:tcMar>
              <w:top w:w="80" w:type="dxa"/>
              <w:start w:w="120" w:type="dxa"/>
              <w:bottom w:w="80" w:type="dxa"/>
              <w:end w:w="120" w:type="dxa"/>
            </w:tcMar>
          </w:tcPr>
          <w:p>
            <w:pPr>
              <w:spacing w:before="0" w:after="0" w:line="240" w:lineRule="auto"/>
            </w:pPr>
            <w:r/>
            <w:r>
              <w:rPr>
                <w:rFonts w:ascii="Calibri" w:hAnsi="Calibri"/>
                <w:b w:val="0"/>
                <w:i w:val="0"/>
                <w:color w:val="111827"/>
                <w:sz w:val="16"/>
              </w:rPr>
              <w:t>[No participant processing, or authorized accommodation record]</w:t>
            </w:r>
          </w:p>
        </w:tc>
      </w:tr>
    </w:tbl>
    <w:p>
      <w:pPr>
        <w:spacing w:after="0"/>
      </w:pPr>
    </w:p>
    <w:p>
      <w:bookmarkStart w:id="12" w:name="Participation_profile_12"/>
      <w:pPr>
        <w:pStyle w:val="Heading2"/>
      </w:pPr>
      <w:r>
        <w:t>Participation profile</w:t>
      </w:r>
      <w:bookmarkEnd w:id="12"/>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850"/>
        <w:gridCol w:w="1450"/>
        <w:gridCol w:w="2350"/>
        <w:gridCol w:w="1900"/>
        <w:gridCol w:w="1810"/>
      </w:tblGrid>
      <w:tr>
        <w:trPr>
          <w:cantSplit/>
          <w:tblHeader w:val="true"/>
        </w:trPr>
        <w:tc>
          <w:tcPr>
            <w:tcW w:type="dxa" w:w="18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Role / constituency</w:t>
            </w:r>
          </w:p>
        </w:tc>
        <w:tc>
          <w:tcPr>
            <w:tcW w:type="dxa" w:w="14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Invited / attended</w:t>
            </w:r>
          </w:p>
        </w:tc>
        <w:tc>
          <w:tcPr>
            <w:tcW w:type="dxa" w:w="23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Standing basis / mandate</w:t>
            </w:r>
          </w:p>
        </w:tc>
        <w:tc>
          <w:tcPr>
            <w:tcW w:type="dxa" w:w="19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Recruitment / support</w:t>
            </w:r>
          </w:p>
        </w:tc>
        <w:tc>
          <w:tcPr>
            <w:tcW w:type="dxa" w:w="18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Authority / conflict / limit</w:t>
            </w:r>
          </w:p>
        </w:tc>
      </w:tr>
      <w:tr>
        <w:trPr>
          <w:cantSplit/>
        </w:trPr>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[Protected descriptor]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5"/>
              </w:rPr>
              <w:t>[Counts]</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[Protected descriptor]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5"/>
              </w:rPr>
              <w:t>[Counts]</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[Protected descriptor]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5"/>
              </w:rPr>
              <w:t>[Counts]</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pPr>
        <w:keepNext w:val="0"/>
        <w:spacing w:before="0" w:after="120" w:line="300" w:lineRule="auto"/>
      </w:pPr>
      <w:r>
        <w:rPr>
          <w:rFonts w:ascii="Calibri" w:hAnsi="Calibri"/>
          <w:i w:val="0"/>
          <w:color w:val="111827"/>
          <w:sz w:val="22"/>
        </w:rPr>
        <w:t>Distinguish actual affected participants from proxies, advocates and professionals. Do not call participants representatives unless a documented mandate supports that term.</w:t>
      </w:r>
    </w:p>
    <w:p>
      <w:bookmarkStart w:id="13" w:name="Missing_standing_register_13"/>
      <w:pPr>
        <w:pStyle w:val="Heading2"/>
      </w:pPr>
      <w:r>
        <w:t>Missing-standing register</w:t>
      </w:r>
      <w:bookmarkEnd w:id="13"/>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300"/>
        <w:gridCol w:w="2350"/>
        <w:gridCol w:w="2200"/>
        <w:gridCol w:w="2510"/>
      </w:tblGrid>
      <w:tr>
        <w:trPr>
          <w:cantSplit/>
          <w:tblHeader w:val="true"/>
        </w:trPr>
        <w:tc>
          <w:tcPr>
            <w:tcW w:type="dxa" w:w="23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Absent constituency / authority</w:t>
            </w:r>
          </w:p>
        </w:tc>
        <w:tc>
          <w:tcPr>
            <w:tcW w:type="dxa" w:w="23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Why it matters</w:t>
            </w:r>
          </w:p>
        </w:tc>
        <w:tc>
          <w:tcPr>
            <w:tcW w:type="dxa" w:w="22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Recruitment effort</w:t>
            </w:r>
          </w:p>
        </w:tc>
        <w:tc>
          <w:tcPr>
            <w:tcW w:type="dxa" w:w="25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Consequence / interpretability</w:t>
            </w:r>
          </w:p>
        </w:tc>
      </w:tr>
      <w:tr>
        <w:trPr>
          <w:cantSplit/>
        </w:trPr>
        <w:tc>
          <w:tcPr>
            <w:tcW w:type="dxa" w:w="230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c>
          <w:tcPr>
            <w:tcW w:type="dxa" w:w="220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c>
          <w:tcPr>
            <w:tcW w:type="dxa" w:w="25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0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c>
          <w:tcPr>
            <w:tcW w:type="dxa" w:w="235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c>
          <w:tcPr>
            <w:tcW w:type="dxa" w:w="220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c>
          <w:tcPr>
            <w:tcW w:type="dxa" w:w="25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bl>
    <w:p>
      <w:pPr>
        <w:spacing w:after="0"/>
      </w:pPr>
    </w:p>
    <w:p>
      <w:bookmarkStart w:id="14" w:name="Authority_map_14"/>
      <w:pPr>
        <w:pStyle w:val="Heading2"/>
      </w:pPr>
      <w:r>
        <w:t>Authority map</w:t>
      </w:r>
      <w:bookmarkEnd w:id="14"/>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900"/>
        <w:gridCol w:w="1900"/>
        <w:gridCol w:w="1900"/>
        <w:gridCol w:w="1700"/>
        <w:gridCol w:w="1960"/>
      </w:tblGrid>
      <w:tr>
        <w:trPr>
          <w:cantSplit/>
          <w:tblHeader w:val="true"/>
        </w:trPr>
        <w:tc>
          <w:tcPr>
            <w:tcW w:type="dxa" w:w="19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Question / decision</w:t>
            </w:r>
          </w:p>
        </w:tc>
        <w:tc>
          <w:tcPr>
            <w:tcW w:type="dxa" w:w="19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Affected authority</w:t>
            </w:r>
          </w:p>
        </w:tc>
        <w:tc>
          <w:tcPr>
            <w:tcW w:type="dxa" w:w="19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Duty-bearer authority</w:t>
            </w:r>
          </w:p>
        </w:tc>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Independent role</w:t>
            </w:r>
          </w:p>
        </w:tc>
        <w:tc>
          <w:tcPr>
            <w:tcW w:type="dxa" w:w="19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Disputed / absent authority</w:t>
            </w:r>
          </w:p>
        </w:tc>
      </w:tr>
      <w:tr>
        <w:trPr>
          <w:cantSplit/>
        </w:trPr>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bookmarkStart w:id="15" w:name="Prospective_duty_record_15"/>
      <w:pPr>
        <w:pStyle w:val="Heading2"/>
      </w:pPr>
      <w:r>
        <w:t>Prospective duty record</w:t>
      </w:r>
      <w:bookmarkEnd w:id="15"/>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800"/>
        <w:gridCol w:w="1800"/>
        <w:gridCol w:w="2300"/>
        <w:gridCol w:w="2000"/>
        <w:gridCol w:w="1460"/>
      </w:tblGrid>
      <w:tr>
        <w:trPr>
          <w:cantSplit/>
          <w:tblHeader w:val="true"/>
        </w:trPr>
        <w:tc>
          <w:tcPr>
            <w:tcW w:type="dxa" w:w="18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Duty</w:t>
            </w:r>
          </w:p>
        </w:tc>
        <w:tc>
          <w:tcPr>
            <w:tcW w:type="dxa" w:w="18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Prospective owner</w:t>
            </w:r>
          </w:p>
        </w:tc>
        <w:tc>
          <w:tcPr>
            <w:tcW w:type="dxa" w:w="23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Accepted / refused / unresolved</w:t>
            </w:r>
          </w:p>
        </w:tc>
        <w:tc>
          <w:tcPr>
            <w:tcW w:type="dxa" w:w="20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Resource / deadline</w:t>
            </w:r>
          </w:p>
        </w:tc>
        <w:tc>
          <w:tcPr>
            <w:tcW w:type="dxa" w:w="14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Evidence ID</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4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4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bookmarkStart w:id="16" w:name="r_compensation"/>
      <w:pPr>
        <w:pStyle w:val="Heading1"/>
      </w:pPr>
      <w:r>
        <w:t>6. Compensation and accessibility</w:t>
      </w:r>
      <w:bookmarkEnd w:id="16"/>
    </w:p>
    <w:p>
      <w:pPr>
        <w:keepNext w:val="0"/>
        <w:spacing w:before="0" w:after="120" w:line="300" w:lineRule="auto"/>
      </w:pPr>
      <w:r>
        <w:rPr>
          <w:rFonts w:ascii="Calibri" w:hAnsi="Calibri"/>
          <w:i w:val="0"/>
          <w:color w:val="111827"/>
          <w:sz w:val="22"/>
        </w:rPr>
        <w:t>Report planned, committed, delivered and outstanding support separately. Payment latency runs from the promised or earned date to receipt, not merely to administrative processing.</w:t>
      </w:r>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800"/>
        <w:gridCol w:w="1700"/>
        <w:gridCol w:w="1450"/>
        <w:gridCol w:w="1600"/>
        <w:gridCol w:w="1550"/>
        <w:gridCol w:w="1260"/>
      </w:tblGrid>
      <w:tr>
        <w:trPr>
          <w:cantSplit/>
          <w:tblHeader w:val="true"/>
        </w:trPr>
        <w:tc>
          <w:tcPr>
            <w:tcW w:type="dxa" w:w="18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Support category</w:t>
            </w:r>
          </w:p>
        </w:tc>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Planned / delivered</w:t>
            </w:r>
          </w:p>
        </w:tc>
        <w:tc>
          <w:tcPr>
            <w:tcW w:type="dxa" w:w="14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Recipient group</w:t>
            </w:r>
          </w:p>
        </w:tc>
        <w:tc>
          <w:tcPr>
            <w:tcW w:type="dxa" w:w="16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Actual / committed cost</w:t>
            </w:r>
          </w:p>
        </w:tc>
        <w:tc>
          <w:tcPr>
            <w:tcW w:type="dxa" w:w="15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Payment date / latency</w:t>
            </w:r>
          </w:p>
        </w:tc>
        <w:tc>
          <w:tcPr>
            <w:tcW w:type="dxa" w:w="12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Unmet need / effect</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Participation compensation</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2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Preparation / review compensation</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2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Travel / connectivity</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2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Child / dependent / replacement care</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2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Interpretation / translation</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2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Disability / communication access</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2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Independent advice / aftercare</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2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bl>
    <w:p>
      <w:pPr>
        <w:spacing w:after="0"/>
      </w:pPr>
    </w:p>
    <w:p>
      <w:bookmarkStart w:id="17" w:name="Accessibility_adequacy_17"/>
      <w:pPr>
        <w:pStyle w:val="Heading2"/>
      </w:pPr>
      <w:r>
        <w:t>Accessibility adequacy</w:t>
      </w:r>
      <w:bookmarkEnd w:id="17"/>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000"/>
        <w:gridCol w:w="1850"/>
        <w:gridCol w:w="1600"/>
        <w:gridCol w:w="2050"/>
        <w:gridCol w:w="1860"/>
      </w:tblGrid>
      <w:tr>
        <w:trPr>
          <w:cantSplit/>
          <w:tblHeader w:val="true"/>
        </w:trPr>
        <w:tc>
          <w:tcPr>
            <w:tcW w:type="dxa" w:w="20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Provision</w:t>
            </w:r>
          </w:p>
        </w:tc>
        <w:tc>
          <w:tcPr>
            <w:tcW w:type="dxa" w:w="18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Requested / planned</w:t>
            </w:r>
          </w:p>
        </w:tc>
        <w:tc>
          <w:tcPr>
            <w:tcW w:type="dxa" w:w="16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Delivered</w:t>
            </w:r>
          </w:p>
        </w:tc>
        <w:tc>
          <w:tcPr>
            <w:tcW w:type="dxa" w:w="20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Participant assessment</w:t>
            </w:r>
          </w:p>
        </w:tc>
        <w:tc>
          <w:tcPr>
            <w:tcW w:type="dxa" w:w="18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Correction / evidence ID</w:t>
            </w:r>
          </w:p>
        </w:tc>
      </w:tr>
      <w:tr>
        <w:trPr>
          <w:cantSplit/>
        </w:trPr>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Format and plain language</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Language / interpretation</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Mobility / sensory / cognitive</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Remote / non-digital route</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Breaks / support person / quiet space</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Post-session support</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bookmarkStart w:id="18" w:name="r_evidence"/>
      <w:pPr>
        <w:pStyle w:val="Heading1"/>
      </w:pPr>
      <w:r>
        <w:t>7. Evidence register</w:t>
      </w:r>
      <w:bookmarkEnd w:id="18"/>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700"/>
        <w:gridCol w:w="7660"/>
      </w:tblGrid>
      <w:tr>
        <w:trPr>
          <w:cantSplit/>
          <w:tblHeader w:val="true"/>
        </w:trPr>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7"/>
              </w:rPr>
              <w:t>Evidence code</w:t>
            </w:r>
          </w:p>
        </w:tc>
        <w:tc>
          <w:tcPr>
            <w:tcW w:type="dxa" w:w="76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7"/>
              </w:rPr>
              <w:t>Use</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i w:val="0"/>
                <w:color w:val="111827"/>
                <w:sz w:val="17"/>
              </w:rPr>
              <w:t>OBS</w:t>
            </w:r>
          </w:p>
        </w:tc>
        <w:tc>
          <w:tcPr>
            <w:tcW w:type="dxa" w:w="7660"/>
            <w:tcMar>
              <w:top w:w="80" w:type="dxa"/>
              <w:start w:w="120" w:type="dxa"/>
              <w:bottom w:w="80" w:type="dxa"/>
              <w:end w:w="120" w:type="dxa"/>
            </w:tcMar>
          </w:tcPr>
          <w:p>
            <w:pPr>
              <w:spacing w:before="0" w:after="0" w:line="240" w:lineRule="auto"/>
            </w:pPr>
            <w:r/>
            <w:r>
              <w:rPr>
                <w:rFonts w:ascii="Calibri" w:hAnsi="Calibri"/>
                <w:b w:val="0"/>
                <w:i w:val="0"/>
                <w:color w:val="111827"/>
                <w:sz w:val="17"/>
              </w:rPr>
              <w:t>Direct facilitator or observer observation.</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i w:val="0"/>
                <w:color w:val="111827"/>
                <w:sz w:val="17"/>
              </w:rPr>
              <w:t>PR</w:t>
            </w:r>
          </w:p>
        </w:tc>
        <w:tc>
          <w:tcPr>
            <w:tcW w:type="dxa" w:w="7660"/>
            <w:tcMar>
              <w:top w:w="80" w:type="dxa"/>
              <w:start w:w="120" w:type="dxa"/>
              <w:bottom w:w="80" w:type="dxa"/>
              <w:end w:w="120" w:type="dxa"/>
            </w:tcMar>
          </w:tcPr>
          <w:p>
            <w:pPr>
              <w:spacing w:before="0" w:after="0" w:line="240" w:lineRule="auto"/>
            </w:pPr>
            <w:r/>
            <w:r>
              <w:rPr>
                <w:rFonts w:ascii="Calibri" w:hAnsi="Calibri"/>
                <w:b w:val="0"/>
                <w:i w:val="0"/>
                <w:color w:val="111827"/>
                <w:sz w:val="17"/>
              </w:rPr>
              <w:t>Participant-reported experience or judgment.</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i w:val="0"/>
                <w:color w:val="111827"/>
                <w:sz w:val="17"/>
              </w:rPr>
              <w:t>DOC</w:t>
            </w:r>
          </w:p>
        </w:tc>
        <w:tc>
          <w:tcPr>
            <w:tcW w:type="dxa" w:w="7660"/>
            <w:tcMar>
              <w:top w:w="80" w:type="dxa"/>
              <w:start w:w="120" w:type="dxa"/>
              <w:bottom w:w="80" w:type="dxa"/>
              <w:end w:w="120" w:type="dxa"/>
            </w:tcMar>
          </w:tcPr>
          <w:p>
            <w:pPr>
              <w:spacing w:before="0" w:after="0" w:line="240" w:lineRule="auto"/>
            </w:pPr>
            <w:r/>
            <w:r>
              <w:rPr>
                <w:rFonts w:ascii="Calibri" w:hAnsi="Calibri"/>
                <w:b w:val="0"/>
                <w:i w:val="0"/>
                <w:color w:val="111827"/>
                <w:sz w:val="17"/>
              </w:rPr>
              <w:t>Controlled documentary record.</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i w:val="0"/>
                <w:color w:val="111827"/>
                <w:sz w:val="17"/>
              </w:rPr>
              <w:t>CALC</w:t>
            </w:r>
          </w:p>
        </w:tc>
        <w:tc>
          <w:tcPr>
            <w:tcW w:type="dxa" w:w="7660"/>
            <w:tcMar>
              <w:top w:w="80" w:type="dxa"/>
              <w:start w:w="120" w:type="dxa"/>
              <w:bottom w:w="80" w:type="dxa"/>
              <w:end w:w="120" w:type="dxa"/>
            </w:tcMar>
          </w:tcPr>
          <w:p>
            <w:pPr>
              <w:spacing w:before="0" w:after="0" w:line="240" w:lineRule="auto"/>
            </w:pPr>
            <w:r/>
            <w:r>
              <w:rPr>
                <w:rFonts w:ascii="Calibri" w:hAnsi="Calibri"/>
                <w:b w:val="0"/>
                <w:i w:val="0"/>
                <w:color w:val="111827"/>
                <w:sz w:val="17"/>
              </w:rPr>
              <w:t>Calculation from identified records and a stated method.</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i w:val="0"/>
                <w:color w:val="111827"/>
                <w:sz w:val="17"/>
              </w:rPr>
              <w:t>EXT</w:t>
            </w:r>
          </w:p>
        </w:tc>
        <w:tc>
          <w:tcPr>
            <w:tcW w:type="dxa" w:w="7660"/>
            <w:tcMar>
              <w:top w:w="80" w:type="dxa"/>
              <w:start w:w="120" w:type="dxa"/>
              <w:bottom w:w="80" w:type="dxa"/>
              <w:end w:w="120" w:type="dxa"/>
            </w:tcMar>
          </w:tcPr>
          <w:p>
            <w:pPr>
              <w:spacing w:before="0" w:after="0" w:line="240" w:lineRule="auto"/>
            </w:pPr>
            <w:r/>
            <w:r>
              <w:rPr>
                <w:rFonts w:ascii="Calibri" w:hAnsi="Calibri"/>
                <w:b w:val="0"/>
                <w:i w:val="0"/>
                <w:color w:val="111827"/>
                <w:sz w:val="17"/>
              </w:rPr>
              <w:t>Relevant pre-existing external evidence.</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i w:val="0"/>
                <w:color w:val="111827"/>
                <w:sz w:val="17"/>
              </w:rPr>
              <w:t>INT</w:t>
            </w:r>
          </w:p>
        </w:tc>
        <w:tc>
          <w:tcPr>
            <w:tcW w:type="dxa" w:w="7660"/>
            <w:tcMar>
              <w:top w:w="80" w:type="dxa"/>
              <w:start w:w="120" w:type="dxa"/>
              <w:bottom w:w="80" w:type="dxa"/>
              <w:end w:w="120" w:type="dxa"/>
            </w:tcMar>
          </w:tcPr>
          <w:p>
            <w:pPr>
              <w:spacing w:before="0" w:after="0" w:line="240" w:lineRule="auto"/>
            </w:pPr>
            <w:r/>
            <w:r>
              <w:rPr>
                <w:rFonts w:ascii="Calibri" w:hAnsi="Calibri"/>
                <w:b w:val="0"/>
                <w:i w:val="0"/>
                <w:color w:val="111827"/>
                <w:sz w:val="17"/>
              </w:rPr>
              <w:t>Interpretation - not evidence.</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i w:val="0"/>
                <w:color w:val="111827"/>
                <w:sz w:val="17"/>
              </w:rPr>
              <w:t>REC</w:t>
            </w:r>
          </w:p>
        </w:tc>
        <w:tc>
          <w:tcPr>
            <w:tcW w:type="dxa" w:w="7660"/>
            <w:tcMar>
              <w:top w:w="80" w:type="dxa"/>
              <w:start w:w="120" w:type="dxa"/>
              <w:bottom w:w="80" w:type="dxa"/>
              <w:end w:w="120" w:type="dxa"/>
            </w:tcMar>
          </w:tcPr>
          <w:p>
            <w:pPr>
              <w:spacing w:before="0" w:after="0" w:line="240" w:lineRule="auto"/>
            </w:pPr>
            <w:r/>
            <w:r>
              <w:rPr>
                <w:rFonts w:ascii="Calibri" w:hAnsi="Calibri"/>
                <w:b w:val="0"/>
                <w:i w:val="0"/>
                <w:color w:val="111827"/>
                <w:sz w:val="17"/>
              </w:rPr>
              <w:t>Recommendation - not evidence.</w:t>
            </w:r>
          </w:p>
        </w:tc>
      </w:tr>
    </w:tbl>
    <w:p>
      <w:pPr>
        <w:spacing w:after="0"/>
      </w:pPr>
    </w:p>
    <w:p>
      <w:pPr>
        <w:keepNext w:val="0"/>
        <w:spacing w:before="0" w:after="120" w:line="300" w:lineRule="auto"/>
      </w:pPr>
      <w:r>
        <w:rPr>
          <w:rFonts w:ascii="Calibri" w:hAnsi="Calibri"/>
          <w:i w:val="0"/>
          <w:color w:val="111827"/>
          <w:sz w:val="22"/>
        </w:rPr>
        <w:t>Add rows as required. Keep restricted sources in a protected annex and use non-identifying references here.</w:t>
      </w:r>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400"/>
        <w:gridCol w:w="1900"/>
        <w:gridCol w:w="1450"/>
        <w:gridCol w:w="1850"/>
        <w:gridCol w:w="1700"/>
        <w:gridCol w:w="1060"/>
      </w:tblGrid>
      <w:tr>
        <w:trPr>
          <w:cantSplit/>
          <w:tblHeader w:val="true"/>
        </w:trPr>
        <w:tc>
          <w:tcPr>
            <w:tcW w:type="dxa" w:w="14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Evidence ID / time</w:t>
            </w:r>
          </w:p>
        </w:tc>
        <w:tc>
          <w:tcPr>
            <w:tcW w:type="dxa" w:w="19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Question / source / standing</w:t>
            </w:r>
          </w:p>
        </w:tc>
        <w:tc>
          <w:tcPr>
            <w:tcW w:type="dxa" w:w="14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Method / status</w:t>
            </w:r>
          </w:p>
        </w:tc>
        <w:tc>
          <w:tcPr>
            <w:tcW w:type="dxa" w:w="18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Finding / denominator</w:t>
            </w:r>
          </w:p>
        </w:tc>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Uncertainty / counterevidence / dissent</w:t>
            </w:r>
          </w:p>
        </w:tc>
        <w:tc>
          <w:tcPr>
            <w:tcW w:type="dxa" w:w="10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Location / limitation</w:t>
            </w:r>
          </w:p>
        </w:tc>
      </w:tr>
      <w:tr>
        <w:trPr>
          <w:cantSplit/>
        </w:trPr>
        <w:tc>
          <w:tcPr>
            <w:tcW w:type="dxa" w:w="14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4"/>
              </w:rPr>
              <w:t>[Code + canonical status]</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4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4"/>
              </w:rPr>
              <w:t>[Code + canonical status]</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4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450"/>
            <w:tcMar>
              <w:top w:w="80" w:type="dxa"/>
              <w:start w:w="120" w:type="dxa"/>
              <w:bottom w:w="80" w:type="dxa"/>
              <w:end w:w="120" w:type="dxa"/>
            </w:tcMar>
          </w:tcPr>
          <w:p>
            <w:pPr>
              <w:spacing w:before="0" w:after="0" w:line="240" w:lineRule="auto"/>
            </w:pPr>
            <w:r/>
            <w:r>
              <w:rPr>
                <w:rFonts w:ascii="Calibri" w:hAnsi="Calibri"/>
                <w:b w:val="0"/>
                <w:i w:val="0"/>
                <w:color w:val="111827"/>
                <w:sz w:val="14"/>
              </w:rPr>
              <w:t>[Code + canonical status]</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bl>
    <w:p>
      <w:pPr>
        <w:spacing w:after="0"/>
      </w:pPr>
    </w:p>
    <w:tbl>
      <w:tblPr>
        <w:tblW w:type="dxa" w:w="9360"/>
        <w:jc w:val="left"/>
        <w:tblLayout w:type="fixed"/>
        <w:tblLook w:firstColumn="1" w:firstRow="1" w:lastColumn="0" w:lastRow="0" w:noHBand="0" w:noVBand="1" w:val="04A0"/>
        <w:tblInd w:w="120" w:type="dxa"/>
        <w:tblBorders>
          <w:top w:val="single" w:sz="6" w:space="0" w:color="B45309"/>
          <w:left w:val="single" w:sz="6" w:space="0" w:color="B45309"/>
          <w:bottom w:val="single" w:sz="6" w:space="0" w:color="B45309"/>
          <w:right w:val="single" w:sz="6" w:space="0" w:color="B45309"/>
          <w:insideH w:val="single" w:sz="6" w:space="0" w:color="B45309"/>
          <w:insideV w:val="single" w:sz="6" w:space="0" w:color="B45309"/>
        </w:tblBorders>
      </w:tblPr>
      <w:tblGrid>
        <w:gridCol w:w="9360"/>
      </w:tblGrid>
      <w:tr>
        <w:trPr>
          <w:tblHeader w:val="true"/>
          <w:cantSplit/>
        </w:trPr>
        <w:tc>
          <w:tcPr>
            <w:tcW w:type="dxa" w:w="9360"/>
            <w:tcMar>
              <w:top w:w="80" w:type="dxa"/>
              <w:start w:w="120" w:type="dxa"/>
              <w:bottom w:w="80" w:type="dxa"/>
              <w:end w:w="120" w:type="dxa"/>
            </w:tcMar>
            <w:vAlign w:val="center"/>
            <w:shd w:fill="FFF3E6"/>
          </w:tcPr>
          <w:p>
            <w:pPr>
              <w:spacing w:before="0" w:after="40" w:line="240" w:lineRule="auto"/>
            </w:pPr>
            <w:r/>
            <w:r>
              <w:rPr>
                <w:rFonts w:ascii="Calibri" w:hAnsi="Calibri"/>
                <w:b/>
                <w:color w:val="B45309"/>
                <w:sz w:val="18"/>
              </w:rPr>
              <w:t>EVIDENCE INTEGRITY</w:t>
            </w:r>
          </w:p>
          <w:p>
            <w:pPr>
              <w:spacing w:after="0" w:line="276" w:lineRule="auto"/>
            </w:pPr>
            <w:r>
              <w:rPr>
                <w:rFonts w:ascii="Calibri" w:hAnsi="Calibri"/>
                <w:color w:val="111827"/>
                <w:sz w:val="20"/>
              </w:rPr>
              <w:t>Do not classify inference as observation. Missing evidence is not zero evidence. If criteria were selected after seeing results, label them post hoc; do not present them as prior thresholds.</w:t>
            </w:r>
          </w:p>
        </w:tc>
      </w:tr>
    </w:tbl>
    <w:p>
      <w:pPr>
        <w:spacing w:after="0"/>
      </w:pPr>
    </w:p>
    <w:p>
      <w:bookmarkStart w:id="19" w:name="r_metabolism"/>
      <w:pPr>
        <w:pStyle w:val="Heading1"/>
      </w:pPr>
      <w:r>
        <w:t>8. Operational metabolism</w:t>
      </w:r>
      <w:bookmarkEnd w:id="19"/>
    </w:p>
    <w:p>
      <w:pPr>
        <w:keepNext w:val="0"/>
        <w:spacing w:before="0" w:after="120" w:line="300" w:lineRule="auto"/>
      </w:pPr>
      <w:r>
        <w:rPr>
          <w:rFonts w:ascii="Calibri" w:hAnsi="Calibri"/>
          <w:i w:val="0"/>
          <w:color w:val="111827"/>
          <w:sz w:val="22"/>
        </w:rPr>
        <w:t>Complete each measure below with actual human evidence where available. Keep actual, committed-unpaid, estimated and not-measured values separate. Disaggregate by role and affected standing within privacy limits.</w:t>
      </w:r>
    </w:p>
    <w:p>
      <w:bookmarkStart w:id="20" w:name="S_8_1_Time_20"/>
      <w:pPr>
        <w:pStyle w:val="Heading2"/>
      </w:pPr>
      <w:r>
        <w:t>8.1 Time</w:t>
      </w:r>
      <w:bookmarkEnd w:id="20"/>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500"/>
        <w:gridCol w:w="1250"/>
        <w:gridCol w:w="1150"/>
        <w:gridCol w:w="1150"/>
        <w:gridCol w:w="1500"/>
        <w:gridCol w:w="1600"/>
        <w:gridCol w:w="1210"/>
      </w:tblGrid>
      <w:tr>
        <w:trPr>
          <w:cantSplit/>
          <w:tblHeader w:val="true"/>
        </w:trPr>
        <w:tc>
          <w:tcPr>
            <w:tcW w:type="dxa" w:w="15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Role / group</w:t>
            </w:r>
          </w:p>
        </w:tc>
        <w:tc>
          <w:tcPr>
            <w:tcW w:type="dxa" w:w="12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Preparation</w:t>
            </w:r>
          </w:p>
        </w:tc>
        <w:tc>
          <w:tcPr>
            <w:tcW w:type="dxa" w:w="11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Session</w:t>
            </w:r>
          </w:p>
        </w:tc>
        <w:tc>
          <w:tcPr>
            <w:tcW w:type="dxa" w:w="11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Waiting</w:t>
            </w:r>
          </w:p>
        </w:tc>
        <w:tc>
          <w:tcPr>
            <w:tcW w:type="dxa" w:w="15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Follow-up / review</w:t>
            </w:r>
          </w:p>
        </w:tc>
        <w:tc>
          <w:tcPr>
            <w:tcW w:type="dxa" w:w="16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Support / administration</w:t>
            </w:r>
          </w:p>
        </w:tc>
        <w:tc>
          <w:tcPr>
            <w:tcW w:type="dxa" w:w="12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Paid / unpaid</w:t>
            </w:r>
          </w:p>
        </w:tc>
      </w:tr>
      <w:tr>
        <w:trPr>
          <w:cantSplit/>
        </w:trPr>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25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15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15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21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25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15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15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21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25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15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15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[Hours]</w:t>
            </w:r>
          </w:p>
        </w:tc>
        <w:tc>
          <w:tcPr>
            <w:tcW w:type="dxa" w:w="121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bl>
    <w:p>
      <w:pPr>
        <w:spacing w:after="0"/>
      </w:pPr>
    </w:p>
    <w:p>
      <w:pPr>
        <w:keepNext w:val="0"/>
        <w:spacing w:before="0" w:after="120" w:line="300" w:lineRule="auto"/>
      </w:pPr>
      <w:r>
        <w:rPr>
          <w:rFonts w:ascii="Calibri" w:hAnsi="Calibri"/>
          <w:i w:val="0"/>
          <w:color w:val="111827"/>
          <w:sz w:val="22"/>
        </w:rPr>
        <w:t>Total person-hours = sum of preparation + participation + waiting + follow-up + support + administration + review.</w:t>
      </w:r>
    </w:p>
    <w:p>
      <w:bookmarkStart w:id="21" w:name="S_8_2_Cost_21"/>
      <w:pPr>
        <w:pStyle w:val="Heading2"/>
      </w:pPr>
      <w:r>
        <w:t>8.2 Cost</w:t>
      </w:r>
      <w:bookmarkEnd w:id="21"/>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800"/>
        <w:gridCol w:w="1250"/>
        <w:gridCol w:w="1500"/>
        <w:gridCol w:w="1350"/>
        <w:gridCol w:w="1900"/>
        <w:gridCol w:w="1560"/>
      </w:tblGrid>
      <w:tr>
        <w:trPr>
          <w:cantSplit/>
          <w:tblHeader w:val="true"/>
        </w:trPr>
        <w:tc>
          <w:tcPr>
            <w:tcW w:type="dxa" w:w="18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Cost category</w:t>
            </w:r>
          </w:p>
        </w:tc>
        <w:tc>
          <w:tcPr>
            <w:tcW w:type="dxa" w:w="12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Paid</w:t>
            </w:r>
          </w:p>
        </w:tc>
        <w:tc>
          <w:tcPr>
            <w:tcW w:type="dxa" w:w="15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Committed / unpaid</w:t>
            </w:r>
          </w:p>
        </w:tc>
        <w:tc>
          <w:tcPr>
            <w:tcW w:type="dxa" w:w="13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Estimated only</w:t>
            </w:r>
          </w:p>
        </w:tc>
        <w:tc>
          <w:tcPr>
            <w:tcW w:type="dxa" w:w="19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Shifted cost / recipient</w:t>
            </w:r>
          </w:p>
        </w:tc>
        <w:tc>
          <w:tcPr>
            <w:tcW w:type="dxa" w:w="15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Source / limit</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Compensation</w:t>
            </w:r>
          </w:p>
        </w:tc>
        <w:tc>
          <w:tcPr>
            <w:tcW w:type="dxa" w:w="12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Accessibility / language</w:t>
            </w:r>
          </w:p>
        </w:tc>
        <w:tc>
          <w:tcPr>
            <w:tcW w:type="dxa" w:w="12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Care replacement</w:t>
            </w:r>
          </w:p>
        </w:tc>
        <w:tc>
          <w:tcPr>
            <w:tcW w:type="dxa" w:w="12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Travel / venue / technology</w:t>
            </w:r>
          </w:p>
        </w:tc>
        <w:tc>
          <w:tcPr>
            <w:tcW w:type="dxa" w:w="12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Facilitation / administration</w:t>
            </w:r>
          </w:p>
        </w:tc>
        <w:tc>
          <w:tcPr>
            <w:tcW w:type="dxa" w:w="12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Independent review / advice</w:t>
            </w:r>
          </w:p>
        </w:tc>
        <w:tc>
          <w:tcPr>
            <w:tcW w:type="dxa" w:w="12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Aftercare / repair</w:t>
            </w:r>
          </w:p>
        </w:tc>
        <w:tc>
          <w:tcPr>
            <w:tcW w:type="dxa" w:w="12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Opportunity / delay cost</w:t>
            </w:r>
          </w:p>
        </w:tc>
        <w:tc>
          <w:tcPr>
            <w:tcW w:type="dxa" w:w="12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3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bl>
    <w:p>
      <w:pPr>
        <w:spacing w:after="0"/>
      </w:pPr>
    </w:p>
    <w:p>
      <w:pPr>
        <w:keepNext w:val="0"/>
        <w:spacing w:before="0" w:after="120" w:line="300" w:lineRule="auto"/>
      </w:pPr>
      <w:r>
        <w:rPr>
          <w:rFonts w:ascii="Calibri" w:hAnsi="Calibri"/>
          <w:i w:val="0"/>
          <w:color w:val="111827"/>
          <w:sz w:val="22"/>
        </w:rPr>
        <w:t>Do not combine actual and estimated costs in one total. Donated or unpaid labour is never priced at zero.</w:t>
      </w:r>
    </w:p>
    <w:p>
      <w:bookmarkStart w:id="22" w:name="S_8_3_Comprehension_22"/>
      <w:pPr>
        <w:pStyle w:val="Heading2"/>
      </w:pPr>
      <w:r>
        <w:t>8.3 Comprehension</w:t>
      </w:r>
      <w:bookmarkEnd w:id="22"/>
    </w:p>
    <w:p>
      <w:pPr>
        <w:keepNext w:val="0"/>
        <w:spacing w:before="0" w:after="120" w:line="300" w:lineRule="auto"/>
      </w:pPr>
      <w:r>
        <w:rPr>
          <w:rFonts w:ascii="Calibri" w:hAnsi="Calibri"/>
          <w:i w:val="0"/>
          <w:color w:val="111827"/>
          <w:sz w:val="22"/>
        </w:rPr>
        <w:t>Use explain-back in the participant's preferred language and format. Status: clear; partial; unclear; prefers not to answer. Do not score or rank people.</w:t>
      </w:r>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400"/>
        <w:gridCol w:w="2100"/>
        <w:gridCol w:w="1750"/>
        <w:gridCol w:w="1300"/>
        <w:gridCol w:w="1810"/>
      </w:tblGrid>
      <w:tr>
        <w:trPr>
          <w:cantSplit/>
          <w:tblHeader w:val="true"/>
        </w:trPr>
        <w:tc>
          <w:tcPr>
            <w:tcW w:type="dxa" w:w="24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Proposition</w:t>
            </w:r>
          </w:p>
        </w:tc>
        <w:tc>
          <w:tcPr>
            <w:tcW w:type="dxa" w:w="21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Initial result by role / group</w:t>
            </w:r>
          </w:p>
        </w:tc>
        <w:tc>
          <w:tcPr>
            <w:tcW w:type="dxa" w:w="1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Help / clarification time</w:t>
            </w:r>
          </w:p>
        </w:tc>
        <w:tc>
          <w:tcPr>
            <w:tcW w:type="dxa" w:w="13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Retest</w:t>
            </w:r>
          </w:p>
        </w:tc>
        <w:tc>
          <w:tcPr>
            <w:tcW w:type="dxa" w:w="18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Redesign / evidence ID</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val="0"/>
                <w:i w:val="0"/>
                <w:color w:val="111827"/>
                <w:sz w:val="15"/>
              </w:rPr>
              <w:t>Tabletop only; no material change</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val="0"/>
                <w:i w:val="0"/>
                <w:color w:val="111827"/>
                <w:sz w:val="15"/>
              </w:rPr>
              <w:t>Prohibited data and AI</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val="0"/>
                <w:i w:val="0"/>
                <w:color w:val="111827"/>
                <w:sz w:val="15"/>
              </w:rPr>
              <w:t>Pause / leave / correction / dissent rights</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val="0"/>
                <w:i w:val="0"/>
                <w:color w:val="111827"/>
                <w:sz w:val="15"/>
              </w:rPr>
              <w:t>Authority held and not held</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val="0"/>
                <w:i w:val="0"/>
                <w:color w:val="111827"/>
                <w:sz w:val="15"/>
              </w:rPr>
              <w:t>Contribution use / storage</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val="0"/>
                <w:i w:val="0"/>
                <w:color w:val="111827"/>
                <w:sz w:val="15"/>
              </w:rPr>
              <w:t>Two rupture routes</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val="0"/>
                <w:i w:val="0"/>
                <w:color w:val="111827"/>
                <w:sz w:val="15"/>
              </w:rPr>
              <w:t>Participation is not later authorization</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400"/>
            <w:tcMar>
              <w:top w:w="80" w:type="dxa"/>
              <w:start w:w="120" w:type="dxa"/>
              <w:bottom w:w="80" w:type="dxa"/>
              <w:end w:w="120" w:type="dxa"/>
            </w:tcMar>
          </w:tcPr>
          <w:p>
            <w:pPr>
              <w:spacing w:before="0" w:after="0" w:line="240" w:lineRule="auto"/>
            </w:pPr>
            <w:r/>
            <w:r>
              <w:rPr>
                <w:rFonts w:ascii="Calibri" w:hAnsi="Calibri"/>
                <w:b w:val="0"/>
                <w:i w:val="0"/>
                <w:color w:val="111827"/>
                <w:sz w:val="15"/>
              </w:rPr>
              <w:t>Paperwork and payment ownership</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pPr>
        <w:keepNext w:val="0"/>
        <w:spacing w:before="0" w:after="120" w:line="300" w:lineRule="auto"/>
      </w:pPr>
      <w:r>
        <w:rPr>
          <w:rFonts w:ascii="Calibri" w:hAnsi="Calibri"/>
          <w:i w:val="0"/>
          <w:color w:val="111827"/>
          <w:sz w:val="22"/>
        </w:rPr>
        <w:t>Report the least-understood proposition and any group difference. A critical unresolved misunderstanding requires repair and retesting or a hold; an average cannot override it.</w:t>
      </w:r>
    </w:p>
    <w:p>
      <w:bookmarkStart w:id="23" w:name="S_8_4_Paperwork_ownership_23"/>
      <w:pPr>
        <w:pStyle w:val="Heading2"/>
      </w:pPr>
      <w:r>
        <w:t>8.4 Paperwork ownership</w:t>
      </w:r>
      <w:bookmarkEnd w:id="23"/>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700"/>
        <w:gridCol w:w="2000"/>
        <w:gridCol w:w="2600"/>
        <w:gridCol w:w="1400"/>
        <w:gridCol w:w="1660"/>
      </w:tblGrid>
      <w:tr>
        <w:trPr>
          <w:cantSplit/>
          <w:tblHeader w:val="true"/>
        </w:trPr>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Artifact</w:t>
            </w:r>
          </w:p>
        </w:tc>
        <w:tc>
          <w:tcPr>
            <w:tcW w:type="dxa" w:w="20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Drafter / input</w:t>
            </w:r>
          </w:p>
        </w:tc>
        <w:tc>
          <w:tcPr>
            <w:tcW w:type="dxa" w:w="26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Verifier / approver / custodian</w:t>
            </w:r>
          </w:p>
        </w:tc>
        <w:tc>
          <w:tcPr>
            <w:tcW w:type="dxa" w:w="14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Hours / paid status</w:t>
            </w:r>
          </w:p>
        </w:tc>
        <w:tc>
          <w:tcPr>
            <w:tcW w:type="dxa" w:w="16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Duplication / transfer / dispute</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4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6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4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6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4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6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pPr>
        <w:keepNext w:val="0"/>
        <w:spacing w:before="0" w:after="120" w:line="300" w:lineRule="auto"/>
      </w:pPr>
      <w:r>
        <w:rPr>
          <w:rFonts w:ascii="Calibri" w:hAnsi="Calibri"/>
          <w:i w:val="0"/>
          <w:color w:val="111827"/>
          <w:sz w:val="22"/>
        </w:rPr>
        <w:t>Calculate document-production hours by role. Identify whether affected participants became default authors, coordinators, boundary institutions or systems-integration labour.</w:t>
      </w:r>
    </w:p>
    <w:p>
      <w:bookmarkStart w:id="24" w:name="S_8_5_Participant_burden_24"/>
      <w:pPr>
        <w:pStyle w:val="Heading2"/>
      </w:pPr>
      <w:r>
        <w:t>8.5 Participant burden</w:t>
      </w:r>
      <w:bookmarkEnd w:id="24"/>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600"/>
        <w:gridCol w:w="1650"/>
        <w:gridCol w:w="2000"/>
        <w:gridCol w:w="1750"/>
        <w:gridCol w:w="1000"/>
        <w:gridCol w:w="1360"/>
      </w:tblGrid>
      <w:tr>
        <w:trPr>
          <w:cantSplit/>
          <w:tblHeader w:val="true"/>
        </w:trPr>
        <w:tc>
          <w:tcPr>
            <w:tcW w:type="dxa" w:w="16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Role / group</w:t>
            </w:r>
          </w:p>
        </w:tc>
        <w:tc>
          <w:tcPr>
            <w:tcW w:type="dxa" w:w="16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Logistics / access</w:t>
            </w:r>
          </w:p>
        </w:tc>
        <w:tc>
          <w:tcPr>
            <w:tcW w:type="dxa" w:w="20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Cognitive / emotional / privacy</w:t>
            </w:r>
          </w:p>
        </w:tc>
        <w:tc>
          <w:tcPr>
            <w:tcW w:type="dxa" w:w="1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Work / care / community burden</w:t>
            </w:r>
          </w:p>
        </w:tc>
        <w:tc>
          <w:tcPr>
            <w:tcW w:type="dxa" w:w="10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Maximum 0-4</w:t>
            </w:r>
          </w:p>
        </w:tc>
        <w:tc>
          <w:tcPr>
            <w:tcW w:type="dxa" w:w="13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Would participate again / why</w:t>
            </w:r>
          </w:p>
        </w:tc>
      </w:tr>
      <w:tr>
        <w:trPr>
          <w:cantSplit/>
        </w:trPr>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[Protected descriptor]</w:t>
            </w:r>
          </w:p>
        </w:tc>
        <w:tc>
          <w:tcPr>
            <w:tcW w:type="dxa" w:w="16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3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[Protected descriptor]</w:t>
            </w:r>
          </w:p>
        </w:tc>
        <w:tc>
          <w:tcPr>
            <w:tcW w:type="dxa" w:w="16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0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3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bl>
    <w:p>
      <w:pPr>
        <w:spacing w:after="0"/>
      </w:pPr>
    </w:p>
    <w:p>
      <w:pPr>
        <w:keepNext w:val="0"/>
        <w:spacing w:before="0" w:after="120" w:line="300" w:lineRule="auto"/>
      </w:pPr>
      <w:r>
        <w:rPr>
          <w:rFonts w:ascii="Calibri" w:hAnsi="Calibri"/>
          <w:i w:val="0"/>
          <w:color w:val="111827"/>
          <w:sz w:val="22"/>
        </w:rPr>
        <w:t>Scale: 0 none; 1 low; 2 manageable; 3 high; 4 unacceptable; NR not recorded. Report distribution and maximum, not only the mean.</w:t>
      </w:r>
    </w:p>
    <w:p>
      <w:bookmarkStart w:id="25" w:name="S_8_6_Reviewer_workload_25"/>
      <w:pPr>
        <w:pStyle w:val="Heading2"/>
      </w:pPr>
      <w:r>
        <w:t>8.6 Reviewer workload</w:t>
      </w:r>
      <w:bookmarkEnd w:id="25"/>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700"/>
        <w:gridCol w:w="2100"/>
        <w:gridCol w:w="2300"/>
        <w:gridCol w:w="1500"/>
        <w:gridCol w:w="1760"/>
      </w:tblGrid>
      <w:tr>
        <w:trPr>
          <w:cantSplit/>
          <w:tblHeader w:val="true"/>
        </w:trPr>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Reviewer role</w:t>
            </w:r>
          </w:p>
        </w:tc>
        <w:tc>
          <w:tcPr>
            <w:tcW w:type="dxa" w:w="21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Pages / sources / artifacts</w:t>
            </w:r>
          </w:p>
        </w:tc>
        <w:tc>
          <w:tcPr>
            <w:tcW w:type="dxa" w:w="23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Prep / review / meeting / writing</w:t>
            </w:r>
          </w:p>
        </w:tc>
        <w:tc>
          <w:tcPr>
            <w:tcW w:type="dxa" w:w="15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Clarifications / rework</w:t>
            </w:r>
          </w:p>
        </w:tc>
        <w:tc>
          <w:tcPr>
            <w:tcW w:type="dxa" w:w="17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Queue / protected time / quality risk</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bookmarkStart w:id="26" w:name="S_8_7_Latency_26"/>
      <w:pPr>
        <w:pStyle w:val="Heading2"/>
      </w:pPr>
      <w:r>
        <w:t>8.7 Latency</w:t>
      </w:r>
      <w:bookmarkEnd w:id="26"/>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800"/>
        <w:gridCol w:w="1750"/>
        <w:gridCol w:w="1900"/>
        <w:gridCol w:w="2000"/>
        <w:gridCol w:w="1910"/>
      </w:tblGrid>
      <w:tr>
        <w:trPr>
          <w:cantSplit/>
          <w:tblHeader w:val="true"/>
        </w:trPr>
        <w:tc>
          <w:tcPr>
            <w:tcW w:type="dxa" w:w="18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Event</w:t>
            </w:r>
          </w:p>
        </w:tc>
        <w:tc>
          <w:tcPr>
            <w:tcW w:type="dxa" w:w="1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Timestamp / owner</w:t>
            </w:r>
          </w:p>
        </w:tc>
        <w:tc>
          <w:tcPr>
            <w:tcW w:type="dxa" w:w="19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Active / queue / repair</w:t>
            </w:r>
          </w:p>
        </w:tc>
        <w:tc>
          <w:tcPr>
            <w:tcW w:type="dxa" w:w="20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Reason and delay bearer</w:t>
            </w:r>
          </w:p>
        </w:tc>
        <w:tc>
          <w:tcPr>
            <w:tcW w:type="dxa" w:w="19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Protection / escalation / expiry</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Packet declared ready</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Submission / acknowledgment</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Clarification / remediation</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Review resumed</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Tabletop disposition</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pPr>
        <w:keepNext w:val="0"/>
        <w:spacing w:before="0" w:after="120" w:line="300" w:lineRule="auto"/>
      </w:pPr>
      <w:r>
        <w:rPr>
          <w:rFonts w:ascii="Calibri" w:hAnsi="Calibri"/>
          <w:i w:val="0"/>
          <w:color w:val="111827"/>
          <w:sz w:val="22"/>
        </w:rPr>
        <w:t>Actual G0 gate latency: [Not measured, unless a legitimately constituted review is separately documented].</w:t>
      </w:r>
    </w:p>
    <w:p>
      <w:bookmarkStart w:id="27" w:name="S_8_8_Safeguard_contribution_and_value_27"/>
      <w:pPr>
        <w:pStyle w:val="Heading2"/>
      </w:pPr>
      <w:r>
        <w:t>8.8 Safeguard contribution and value</w:t>
      </w:r>
      <w:bookmarkEnd w:id="27"/>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550"/>
        <w:gridCol w:w="1500"/>
        <w:gridCol w:w="1700"/>
        <w:gridCol w:w="1750"/>
        <w:gridCol w:w="1600"/>
        <w:gridCol w:w="1260"/>
      </w:tblGrid>
      <w:tr>
        <w:trPr>
          <w:cantSplit/>
          <w:tblHeader w:val="true"/>
        </w:trPr>
        <w:tc>
          <w:tcPr>
            <w:tcW w:type="dxa" w:w="15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Safeguard</w:t>
            </w:r>
          </w:p>
        </w:tc>
        <w:tc>
          <w:tcPr>
            <w:tcW w:type="dxa" w:w="15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Understood / invoked</w:t>
            </w:r>
          </w:p>
        </w:tc>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Issue / action</w:t>
            </w:r>
          </w:p>
        </w:tc>
        <w:tc>
          <w:tcPr>
            <w:tcW w:type="dxa" w:w="1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Observed process effect</w:t>
            </w:r>
          </w:p>
        </w:tc>
        <w:tc>
          <w:tcPr>
            <w:tcW w:type="dxa" w:w="16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Participant / independent view</w:t>
            </w:r>
          </w:p>
        </w:tc>
        <w:tc>
          <w:tcPr>
            <w:tcW w:type="dxa" w:w="12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Time / cost / evidence</w:t>
            </w:r>
          </w:p>
        </w:tc>
      </w:tr>
      <w:tr>
        <w:trPr>
          <w:cantSplit/>
        </w:trPr>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2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2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bl>
    <w:p>
      <w:pPr>
        <w:spacing w:after="0"/>
      </w:pPr>
    </w:p>
    <w:p>
      <w:pPr>
        <w:keepNext w:val="0"/>
        <w:spacing w:before="0" w:after="120" w:line="300" w:lineRule="auto"/>
      </w:pPr>
      <w:r>
        <w:rPr>
          <w:rFonts w:ascii="Calibri" w:hAnsi="Calibri"/>
          <w:i w:val="0"/>
          <w:color w:val="111827"/>
          <w:sz w:val="22"/>
        </w:rPr>
        <w:t>Classify as: untested; available not invoked; invoked without observable change; invoked and changed process; or invoked and mitigated a documented problem. Say 'observed contribution', not 'harm prevented', unless a defensible counterfactual exists.</w:t>
      </w:r>
    </w:p>
    <w:p>
      <w:bookmarkStart w:id="28" w:name="S_8_9_Unresolved_disagreement_28"/>
      <w:pPr>
        <w:pStyle w:val="Heading2"/>
      </w:pPr>
      <w:r>
        <w:t>8.9 Unresolved disagreement</w:t>
      </w:r>
      <w:bookmarkEnd w:id="28"/>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700"/>
        <w:gridCol w:w="2300"/>
        <w:gridCol w:w="1900"/>
        <w:gridCol w:w="1700"/>
        <w:gridCol w:w="1760"/>
      </w:tblGrid>
      <w:tr>
        <w:trPr>
          <w:cantSplit/>
          <w:tblHeader w:val="true"/>
        </w:trPr>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Dissent ID / issue</w:t>
            </w:r>
          </w:p>
        </w:tc>
        <w:tc>
          <w:tcPr>
            <w:tcW w:type="dxa" w:w="23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Standing / approved wording</w:t>
            </w:r>
          </w:p>
        </w:tc>
        <w:tc>
          <w:tcPr>
            <w:tcW w:type="dxa" w:w="19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Evidence / response</w:t>
            </w:r>
          </w:p>
        </w:tc>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Authority / disposition</w:t>
            </w:r>
          </w:p>
        </w:tc>
        <w:tc>
          <w:tcPr>
            <w:tcW w:type="dxa" w:w="17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Residual disagreement / effect</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pPr>
        <w:keepNext w:val="0"/>
        <w:spacing w:before="0" w:after="120" w:line="300" w:lineRule="auto"/>
      </w:pPr>
      <w:r>
        <w:rPr>
          <w:rFonts w:ascii="Calibri" w:hAnsi="Calibri"/>
          <w:i w:val="0"/>
          <w:color w:val="111827"/>
          <w:sz w:val="22"/>
        </w:rPr>
        <w:t>Count material issues, not only dissenting people. Preserve standing, stakes, power and non-resolution.</w:t>
      </w:r>
    </w:p>
    <w:p>
      <w:bookmarkStart w:id="29" w:name="S_8_10_Harm_caused_by_delay_29"/>
      <w:pPr>
        <w:pStyle w:val="Heading2"/>
      </w:pPr>
      <w:r>
        <w:t>8.10 Harm caused by delay</w:t>
      </w:r>
      <w:bookmarkEnd w:id="29"/>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500"/>
        <w:gridCol w:w="1800"/>
        <w:gridCol w:w="1600"/>
        <w:gridCol w:w="1700"/>
        <w:gridCol w:w="1400"/>
        <w:gridCol w:w="1360"/>
      </w:tblGrid>
      <w:tr>
        <w:trPr>
          <w:cantSplit/>
          <w:tblHeader w:val="true"/>
        </w:trPr>
        <w:tc>
          <w:tcPr>
            <w:tcW w:type="dxa" w:w="15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Delay ID / owner</w:t>
            </w:r>
          </w:p>
        </w:tc>
        <w:tc>
          <w:tcPr>
            <w:tcW w:type="dxa" w:w="18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Protection or decision delayed</w:t>
            </w:r>
          </w:p>
        </w:tc>
        <w:tc>
          <w:tcPr>
            <w:tcW w:type="dxa" w:w="16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Affected party / duration</w:t>
            </w:r>
          </w:p>
        </w:tc>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Observed consequence</w:t>
            </w:r>
          </w:p>
        </w:tc>
        <w:tc>
          <w:tcPr>
            <w:tcW w:type="dxa" w:w="14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Anticipated risk</w:t>
            </w:r>
          </w:p>
        </w:tc>
        <w:tc>
          <w:tcPr>
            <w:tcW w:type="dxa" w:w="13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4"/>
              </w:rPr>
              <w:t>Response / evidence</w:t>
            </w:r>
          </w:p>
        </w:tc>
      </w:tr>
      <w:tr>
        <w:trPr>
          <w:cantSplit/>
        </w:trPr>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400"/>
            <w:tcMar>
              <w:top w:w="80" w:type="dxa"/>
              <w:start w:w="120" w:type="dxa"/>
              <w:bottom w:w="80" w:type="dxa"/>
              <w:end w:w="120" w:type="dxa"/>
            </w:tcMar>
          </w:tcPr>
          <w:p>
            <w:pPr>
              <w:spacing w:before="0" w:after="0" w:line="240" w:lineRule="auto"/>
            </w:pPr>
            <w:r/>
            <w:r>
              <w:rPr>
                <w:rFonts w:ascii="Calibri" w:hAnsi="Calibri"/>
                <w:b w:val="0"/>
                <w:i w:val="0"/>
                <w:color w:val="111827"/>
                <w:sz w:val="14"/>
              </w:rPr>
              <w:t>[Clearly label]</w:t>
            </w:r>
          </w:p>
        </w:tc>
        <w:tc>
          <w:tcPr>
            <w:tcW w:type="dxa" w:w="13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r>
        <w:trPr>
          <w:cantSplit/>
        </w:trPr>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c>
          <w:tcPr>
            <w:tcW w:type="dxa" w:w="1400"/>
            <w:tcMar>
              <w:top w:w="80" w:type="dxa"/>
              <w:start w:w="120" w:type="dxa"/>
              <w:bottom w:w="80" w:type="dxa"/>
              <w:end w:w="120" w:type="dxa"/>
            </w:tcMar>
          </w:tcPr>
          <w:p>
            <w:pPr>
              <w:spacing w:before="0" w:after="0" w:line="240" w:lineRule="auto"/>
            </w:pPr>
            <w:r/>
            <w:r>
              <w:rPr>
                <w:rFonts w:ascii="Calibri" w:hAnsi="Calibri"/>
                <w:b w:val="0"/>
                <w:i w:val="0"/>
                <w:color w:val="111827"/>
                <w:sz w:val="14"/>
              </w:rPr>
              <w:t>[Clearly label]</w:t>
            </w:r>
          </w:p>
        </w:tc>
        <w:tc>
          <w:tcPr>
            <w:tcW w:type="dxa" w:w="1360"/>
            <w:tcMar>
              <w:top w:w="80" w:type="dxa"/>
              <w:start w:w="120" w:type="dxa"/>
              <w:bottom w:w="80" w:type="dxa"/>
              <w:end w:w="120" w:type="dxa"/>
            </w:tcMar>
          </w:tcPr>
          <w:p>
            <w:pPr>
              <w:spacing w:before="0" w:after="0" w:line="240" w:lineRule="auto"/>
            </w:pPr>
            <w:r/>
            <w:r>
              <w:rPr>
                <w:rFonts w:ascii="Calibri" w:hAnsi="Calibri"/>
                <w:b w:val="0"/>
                <w:i w:val="0"/>
                <w:color w:val="111827"/>
                <w:sz w:val="14"/>
              </w:rPr>
              <w:t>[Enter]</w:t>
            </w:r>
          </w:p>
        </w:tc>
      </w:tr>
    </w:tbl>
    <w:p>
      <w:pPr>
        <w:spacing w:after="0"/>
      </w:pPr>
    </w:p>
    <w:p>
      <w:pPr>
        <w:keepNext w:val="0"/>
        <w:spacing w:before="0" w:after="120" w:line="300" w:lineRule="auto"/>
      </w:pPr>
      <w:r>
        <w:rPr>
          <w:rFonts w:ascii="Calibri" w:hAnsi="Calibri"/>
          <w:i w:val="0"/>
          <w:color w:val="111827"/>
          <w:sz w:val="22"/>
        </w:rPr>
        <w:t>Because Tier 0 changes no care pathway, claims of patient harm caused or avoided by delaying an untested intervention will ordinarily be anticipated, not observed. Process or participation harm may be observed.</w:t>
      </w:r>
    </w:p>
    <w:p>
      <w:bookmarkStart w:id="30" w:name="S_8_11_AI_oversight_and_measurement_bu_30"/>
      <w:pPr>
        <w:pStyle w:val="Heading2"/>
      </w:pPr>
      <w:r>
        <w:t>8.11 AI-oversight and measurement burden</w:t>
      </w:r>
      <w:bookmarkEnd w:id="30"/>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250"/>
        <w:gridCol w:w="1700"/>
        <w:gridCol w:w="1550"/>
        <w:gridCol w:w="1900"/>
        <w:gridCol w:w="1960"/>
      </w:tblGrid>
      <w:tr>
        <w:trPr>
          <w:cantSplit/>
          <w:tblHeader w:val="true"/>
        </w:trPr>
        <w:tc>
          <w:tcPr>
            <w:tcW w:type="dxa" w:w="22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Burden source</w:t>
            </w:r>
          </w:p>
        </w:tc>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Who carried it</w:t>
            </w:r>
          </w:p>
        </w:tc>
        <w:tc>
          <w:tcPr>
            <w:tcW w:type="dxa" w:w="15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Time / cost</w:t>
            </w:r>
          </w:p>
        </w:tc>
        <w:tc>
          <w:tcPr>
            <w:tcW w:type="dxa" w:w="19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Value / necessity</w:t>
            </w:r>
          </w:p>
        </w:tc>
        <w:tc>
          <w:tcPr>
            <w:tcW w:type="dxa" w:w="19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Correction / evidence ID</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val="0"/>
                <w:i w:val="0"/>
                <w:color w:val="111827"/>
                <w:sz w:val="15"/>
              </w:rPr>
              <w:t>Device and service declaration / disabling</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val="0"/>
                <w:i w:val="0"/>
                <w:color w:val="111827"/>
                <w:sz w:val="15"/>
              </w:rPr>
              <w:t>Accommodation AI review, if any</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val="0"/>
                <w:i w:val="0"/>
                <w:color w:val="111827"/>
                <w:sz w:val="15"/>
              </w:rPr>
              <w:t>Data / privacy verification</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2250"/>
            <w:tcMar>
              <w:top w:w="80" w:type="dxa"/>
              <w:start w:w="120" w:type="dxa"/>
              <w:bottom w:w="80" w:type="dxa"/>
              <w:end w:w="120" w:type="dxa"/>
            </w:tcMar>
          </w:tcPr>
          <w:p>
            <w:pPr>
              <w:spacing w:before="0" w:after="0" w:line="240" w:lineRule="auto"/>
            </w:pPr>
            <w:r/>
            <w:r>
              <w:rPr>
                <w:rFonts w:ascii="Calibri" w:hAnsi="Calibri"/>
                <w:b w:val="0"/>
                <w:i w:val="0"/>
                <w:color w:val="111827"/>
                <w:sz w:val="15"/>
              </w:rPr>
              <w:t>Metabolism measurement itself</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5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bookmarkStart w:id="31" w:name="r_safeguards"/>
      <w:pPr>
        <w:pStyle w:val="Heading1"/>
      </w:pPr>
      <w:r>
        <w:t>9. Safeguards, rupture and disagreement</w:t>
      </w:r>
      <w:bookmarkEnd w:id="31"/>
    </w:p>
    <w:p>
      <w:bookmarkStart w:id="32" w:name="Independent_observer_summary_32"/>
      <w:pPr>
        <w:pStyle w:val="Heading2"/>
      </w:pPr>
      <w:r>
        <w:t>Independent observer summary</w:t>
      </w:r>
      <w:bookmarkEnd w:id="32"/>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350"/>
        <w:gridCol w:w="7010"/>
      </w:tblGrid>
      <w:tr>
        <w:trPr>
          <w:cantSplit/>
          <w:tblHeader w:val="true"/>
        </w:trPr>
        <w:tc>
          <w:tcPr>
            <w:tcW w:type="dxa" w:w="23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Field</w:t>
            </w:r>
          </w:p>
        </w:tc>
        <w:tc>
          <w:tcPr>
            <w:tcW w:type="dxa" w:w="70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Controlled entry</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Independence / conflict</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Coercion / domination</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[Observed / not observed / not assessable; evidence]</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Access / comprehension failure</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Live-data / AI / recording boundary</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Urgency and authority</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Burden transfer</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Retaliation cues</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Unsupported legitimacy claims</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Pauses / modifications</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Residual concern</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bl>
    <w:p>
      <w:pPr>
        <w:spacing w:after="0"/>
      </w:pPr>
    </w:p>
    <w:p>
      <w:bookmarkStart w:id="33" w:name="Rupture_and_repair_register_33"/>
      <w:pPr>
        <w:pStyle w:val="Heading2"/>
      </w:pPr>
      <w:r>
        <w:t>Rupture and repair register</w:t>
      </w:r>
      <w:bookmarkEnd w:id="33"/>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700"/>
        <w:gridCol w:w="2100"/>
        <w:gridCol w:w="1850"/>
        <w:gridCol w:w="1800"/>
        <w:gridCol w:w="1910"/>
      </w:tblGrid>
      <w:tr>
        <w:trPr>
          <w:cantSplit/>
          <w:tblHeader w:val="true"/>
        </w:trPr>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Rupture ID / channel</w:t>
            </w:r>
          </w:p>
        </w:tc>
        <w:tc>
          <w:tcPr>
            <w:tcW w:type="dxa" w:w="21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Time / nature / affected party</w:t>
            </w:r>
          </w:p>
        </w:tc>
        <w:tc>
          <w:tcPr>
            <w:tcW w:type="dxa" w:w="18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Protection / response latency</w:t>
            </w:r>
          </w:p>
        </w:tc>
        <w:tc>
          <w:tcPr>
            <w:tcW w:type="dxa" w:w="18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Requested / offered repair</w:t>
            </w:r>
          </w:p>
        </w:tc>
        <w:tc>
          <w:tcPr>
            <w:tcW w:type="dxa" w:w="19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Participant assessment / residual effect / status</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[Relational / independent / both]</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[Restricted reference]</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[Relational / independent / both]</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[Restricted reference]</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pPr>
        <w:keepNext w:val="0"/>
        <w:spacing w:before="0" w:after="120" w:line="300" w:lineRule="auto"/>
      </w:pPr>
      <w:r>
        <w:rPr>
          <w:rFonts w:ascii="Calibri" w:hAnsi="Calibri"/>
          <w:i w:val="0"/>
          <w:color w:val="111827"/>
          <w:sz w:val="22"/>
        </w:rPr>
        <w:t>Include exclusion, misrecognition, privacy failure, distress, accessibility failure, unpaid labour, domination, retaliation fear and loss of trust. 'No complaint received' is not evidence that no rupture occurred.</w:t>
      </w:r>
    </w:p>
    <w:p>
      <w:bookmarkStart w:id="34" w:name="Participant_approved_dissent_registe_34"/>
      <w:pPr>
        <w:pStyle w:val="Heading2"/>
      </w:pPr>
      <w:r>
        <w:t>Participant-approved dissent register</w:t>
      </w:r>
      <w:bookmarkEnd w:id="34"/>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350"/>
        <w:gridCol w:w="2650"/>
        <w:gridCol w:w="1950"/>
        <w:gridCol w:w="1700"/>
        <w:gridCol w:w="1710"/>
      </w:tblGrid>
      <w:tr>
        <w:trPr>
          <w:cantSplit/>
          <w:tblHeader w:val="true"/>
        </w:trPr>
        <w:tc>
          <w:tcPr>
            <w:tcW w:type="dxa" w:w="13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Dissent ID</w:t>
            </w:r>
          </w:p>
        </w:tc>
        <w:tc>
          <w:tcPr>
            <w:tcW w:type="dxa" w:w="26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Approved wording / attribution</w:t>
            </w:r>
          </w:p>
        </w:tc>
        <w:tc>
          <w:tcPr>
            <w:tcW w:type="dxa" w:w="19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Evidence / response</w:t>
            </w:r>
          </w:p>
        </w:tc>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Who decided treatment</w:t>
            </w:r>
          </w:p>
        </w:tc>
        <w:tc>
          <w:tcPr>
            <w:tcW w:type="dxa" w:w="17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Status / decision effect</w:t>
            </w:r>
          </w:p>
        </w:tc>
      </w:tr>
      <w:tr>
        <w:trPr>
          <w:cantSplit/>
        </w:trPr>
        <w:tc>
          <w:tcPr>
            <w:tcW w:type="dxa" w:w="13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650"/>
            <w:tcMar>
              <w:top w:w="80" w:type="dxa"/>
              <w:start w:w="120" w:type="dxa"/>
              <w:bottom w:w="80" w:type="dxa"/>
              <w:end w:w="120" w:type="dxa"/>
            </w:tcMar>
          </w:tcPr>
          <w:p>
            <w:pPr>
              <w:spacing w:before="0" w:after="0" w:line="240" w:lineRule="auto"/>
            </w:pPr>
            <w:r/>
            <w:r>
              <w:rPr>
                <w:rFonts w:ascii="Calibri" w:hAnsi="Calibri"/>
                <w:b w:val="0"/>
                <w:i w:val="0"/>
                <w:color w:val="111827"/>
                <w:sz w:val="15"/>
              </w:rPr>
              <w:t>[Enter or restricted annex]</w:t>
            </w:r>
          </w:p>
        </w:tc>
        <w:tc>
          <w:tcPr>
            <w:tcW w:type="dxa" w:w="19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3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650"/>
            <w:tcMar>
              <w:top w:w="80" w:type="dxa"/>
              <w:start w:w="120" w:type="dxa"/>
              <w:bottom w:w="80" w:type="dxa"/>
              <w:end w:w="120" w:type="dxa"/>
            </w:tcMar>
          </w:tcPr>
          <w:p>
            <w:pPr>
              <w:spacing w:before="0" w:after="0" w:line="240" w:lineRule="auto"/>
            </w:pPr>
            <w:r/>
            <w:r>
              <w:rPr>
                <w:rFonts w:ascii="Calibri" w:hAnsi="Calibri"/>
                <w:b w:val="0"/>
                <w:i w:val="0"/>
                <w:color w:val="111827"/>
                <w:sz w:val="15"/>
              </w:rPr>
              <w:t>[Enter or restricted annex]</w:t>
            </w:r>
          </w:p>
        </w:tc>
        <w:tc>
          <w:tcPr>
            <w:tcW w:type="dxa" w:w="19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bookmarkStart w:id="35" w:name="r_interpretation"/>
      <w:pPr>
        <w:pStyle w:val="Heading1"/>
      </w:pPr>
      <w:r>
        <w:t>10. Interpretation and judgment</w:t>
      </w:r>
      <w:bookmarkEnd w:id="35"/>
    </w:p>
    <w:p>
      <w:bookmarkStart w:id="36" w:name="Interpretation_ledger_36"/>
      <w:pPr>
        <w:pStyle w:val="Heading2"/>
      </w:pPr>
      <w:r>
        <w:t>Interpretation ledger</w:t>
      </w:r>
      <w:bookmarkEnd w:id="36"/>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750"/>
        <w:gridCol w:w="2150"/>
        <w:gridCol w:w="1900"/>
        <w:gridCol w:w="1800"/>
        <w:gridCol w:w="1760"/>
      </w:tblGrid>
      <w:tr>
        <w:trPr>
          <w:cantSplit/>
          <w:tblHeader w:val="true"/>
        </w:trPr>
        <w:tc>
          <w:tcPr>
            <w:tcW w:type="dxa" w:w="1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Interpretation ID / evidence</w:t>
            </w:r>
          </w:p>
        </w:tc>
        <w:tc>
          <w:tcPr>
            <w:tcW w:type="dxa" w:w="21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Bounded interpretation</w:t>
            </w:r>
          </w:p>
        </w:tc>
        <w:tc>
          <w:tcPr>
            <w:tcW w:type="dxa" w:w="19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Alternative / counterevidence</w:t>
            </w:r>
          </w:p>
        </w:tc>
        <w:tc>
          <w:tcPr>
            <w:tcW w:type="dxa" w:w="18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Affected interpretation / dissent</w:t>
            </w:r>
          </w:p>
        </w:tc>
        <w:tc>
          <w:tcPr>
            <w:tcW w:type="dxa" w:w="17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Confidence / scope / evidence needed</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7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1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pPr>
        <w:numPr>
          <w:ilvl w:val="0"/>
          <w:numId w:val="12"/>
        </w:numPr>
        <w:spacing w:after="80" w:line="300" w:lineRule="auto"/>
      </w:pPr>
      <w:r>
        <w:rPr>
          <w:rFonts w:ascii="Calibri" w:hAnsi="Calibri"/>
          <w:color w:val="111827"/>
          <w:sz w:val="22"/>
        </w:rPr>
        <w:t>Preserve disconfirming cases and serious rival explanations.</w:t>
      </w:r>
    </w:p>
    <w:p>
      <w:pPr>
        <w:numPr>
          <w:ilvl w:val="0"/>
          <w:numId w:val="12"/>
        </w:numPr>
        <w:spacing w:after="80" w:line="300" w:lineRule="auto"/>
      </w:pPr>
      <w:r>
        <w:rPr>
          <w:rFonts w:ascii="Calibri" w:hAnsi="Calibri"/>
          <w:color w:val="111827"/>
          <w:sz w:val="22"/>
        </w:rPr>
        <w:t>Do not infer causation from sequence alone or generalize beyond the participating setting.</w:t>
      </w:r>
    </w:p>
    <w:p>
      <w:pPr>
        <w:numPr>
          <w:ilvl w:val="0"/>
          <w:numId w:val="12"/>
        </w:numPr>
        <w:spacing w:after="80" w:line="300" w:lineRule="auto"/>
      </w:pPr>
      <w:r>
        <w:rPr>
          <w:rFonts w:ascii="Calibri" w:hAnsi="Calibri"/>
          <w:color w:val="111827"/>
          <w:sz w:val="22"/>
        </w:rPr>
        <w:t>Do not convert affected testimony into a decontextualized average or let professional majority erase it.</w:t>
      </w:r>
    </w:p>
    <w:p>
      <w:pPr>
        <w:numPr>
          <w:ilvl w:val="0"/>
          <w:numId w:val="12"/>
        </w:numPr>
        <w:spacing w:after="80" w:line="300" w:lineRule="auto"/>
      </w:pPr>
      <w:r>
        <w:rPr>
          <w:rFonts w:ascii="Calibri" w:hAnsi="Calibri"/>
          <w:color w:val="111827"/>
          <w:sz w:val="22"/>
        </w:rPr>
        <w:t>State missingness, selection effects and the difference between factual uncertainty and normative disagreement.</w:t>
      </w:r>
    </w:p>
    <w:p>
      <w:bookmarkStart w:id="37" w:name="Judgment_register_37"/>
      <w:pPr>
        <w:pStyle w:val="Heading2"/>
      </w:pPr>
      <w:r>
        <w:t>Judgment register</w:t>
      </w:r>
      <w:bookmarkEnd w:id="37"/>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800"/>
        <w:gridCol w:w="2000"/>
        <w:gridCol w:w="1850"/>
        <w:gridCol w:w="1800"/>
        <w:gridCol w:w="1910"/>
      </w:tblGrid>
      <w:tr>
        <w:trPr>
          <w:cantSplit/>
          <w:tblHeader w:val="true"/>
        </w:trPr>
        <w:tc>
          <w:tcPr>
            <w:tcW w:type="dxa" w:w="18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Judgment ID / question</w:t>
            </w:r>
          </w:p>
        </w:tc>
        <w:tc>
          <w:tcPr>
            <w:tcW w:type="dxa" w:w="20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Named authority and basis</w:t>
            </w:r>
          </w:p>
        </w:tc>
        <w:tc>
          <w:tcPr>
            <w:tcW w:type="dxa" w:w="18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Evidence considered</w:t>
            </w:r>
          </w:p>
        </w:tc>
        <w:tc>
          <w:tcPr>
            <w:tcW w:type="dxa" w:w="18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Judgment / limits</w:t>
            </w:r>
          </w:p>
        </w:tc>
        <w:tc>
          <w:tcPr>
            <w:tcW w:type="dxa" w:w="19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Conflict / dissent / review route</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tbl>
      <w:tblPr>
        <w:tblW w:type="dxa" w:w="9360"/>
        <w:jc w:val="left"/>
        <w:tblLayout w:type="fixed"/>
        <w:tblLook w:firstColumn="1" w:firstRow="1" w:lastColumn="0" w:lastRow="0" w:noHBand="0" w:noVBand="1" w:val="04A0"/>
        <w:tblInd w:w="120" w:type="dxa"/>
        <w:tblBorders>
          <w:top w:val="single" w:sz="6" w:space="0" w:color="B45309"/>
          <w:left w:val="single" w:sz="6" w:space="0" w:color="B45309"/>
          <w:bottom w:val="single" w:sz="6" w:space="0" w:color="B45309"/>
          <w:right w:val="single" w:sz="6" w:space="0" w:color="B45309"/>
          <w:insideH w:val="single" w:sz="6" w:space="0" w:color="B45309"/>
          <w:insideV w:val="single" w:sz="6" w:space="0" w:color="B45309"/>
        </w:tblBorders>
      </w:tblPr>
      <w:tblGrid>
        <w:gridCol w:w="9360"/>
      </w:tblGrid>
      <w:tr>
        <w:trPr>
          <w:tblHeader w:val="true"/>
          <w:cantSplit/>
        </w:trPr>
        <w:tc>
          <w:tcPr>
            <w:tcW w:type="dxa" w:w="9360"/>
            <w:tcMar>
              <w:top w:w="80" w:type="dxa"/>
              <w:start w:w="120" w:type="dxa"/>
              <w:bottom w:w="80" w:type="dxa"/>
              <w:end w:w="120" w:type="dxa"/>
            </w:tcMar>
            <w:vAlign w:val="center"/>
            <w:shd w:fill="FFF3E6"/>
          </w:tcPr>
          <w:p>
            <w:pPr>
              <w:spacing w:before="0" w:after="40" w:line="240" w:lineRule="auto"/>
            </w:pPr>
            <w:r/>
            <w:r>
              <w:rPr>
                <w:rFonts w:ascii="Calibri" w:hAnsi="Calibri"/>
                <w:b/>
                <w:color w:val="B45309"/>
                <w:sz w:val="18"/>
              </w:rPr>
              <w:t>AUTHORITY CONTROL</w:t>
            </w:r>
          </w:p>
          <w:p>
            <w:pPr>
              <w:spacing w:after="0" w:line="276" w:lineRule="auto"/>
            </w:pPr>
            <w:r>
              <w:rPr>
                <w:rFonts w:ascii="Calibri" w:hAnsi="Calibri"/>
                <w:color w:val="111827"/>
                <w:sz w:val="20"/>
              </w:rPr>
              <w:t>The tabletop team may judge its own process within assigned roles; it may not self-authorize a later-tier activity. Name the authority for every judgment and preserve disputed or absent authority.</w:t>
            </w:r>
          </w:p>
        </w:tc>
      </w:tr>
    </w:tbl>
    <w:p>
      <w:pPr>
        <w:spacing w:after="0"/>
      </w:pPr>
    </w:p>
    <w:p>
      <w:bookmarkStart w:id="38" w:name="r_recommendations"/>
      <w:pPr>
        <w:pStyle w:val="Heading1"/>
      </w:pPr>
      <w:r>
        <w:t>11. Recommendations and Companion refinement</w:t>
      </w:r>
      <w:bookmarkEnd w:id="38"/>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850"/>
        <w:gridCol w:w="2400"/>
        <w:gridCol w:w="1500"/>
        <w:gridCol w:w="1800"/>
        <w:gridCol w:w="1810"/>
      </w:tblGrid>
      <w:tr>
        <w:trPr>
          <w:cantSplit/>
          <w:tblHeader w:val="true"/>
        </w:trPr>
        <w:tc>
          <w:tcPr>
            <w:tcW w:type="dxa" w:w="18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Recommendation ID / category</w:t>
            </w:r>
          </w:p>
        </w:tc>
        <w:tc>
          <w:tcPr>
            <w:tcW w:type="dxa" w:w="24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Evidence IDs / bounded change</w:t>
            </w:r>
          </w:p>
        </w:tc>
        <w:tc>
          <w:tcPr>
            <w:tcW w:type="dxa" w:w="15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Owner / urgency</w:t>
            </w:r>
          </w:p>
        </w:tc>
        <w:tc>
          <w:tcPr>
            <w:tcW w:type="dxa" w:w="18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Burden / safeguard effect</w:t>
            </w:r>
          </w:p>
        </w:tc>
        <w:tc>
          <w:tcPr>
            <w:tcW w:type="dxa" w:w="18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Affected response / dissent / test</w:t>
            </w:r>
          </w:p>
        </w:tc>
      </w:tr>
      <w:tr>
        <w:trPr>
          <w:cantSplit/>
        </w:trPr>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4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8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4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pPr>
        <w:keepNext w:val="0"/>
        <w:spacing w:before="0" w:after="120" w:line="300" w:lineRule="auto"/>
      </w:pPr>
      <w:r>
        <w:rPr>
          <w:rFonts w:ascii="Calibri" w:hAnsi="Calibri"/>
          <w:i w:val="0"/>
          <w:color w:val="111827"/>
          <w:sz w:val="22"/>
        </w:rPr>
        <w:t>Use one category per recommendation:</w:t>
      </w:r>
    </w:p>
    <w:p>
      <w:pPr>
        <w:numPr>
          <w:ilvl w:val="0"/>
          <w:numId w:val="13"/>
        </w:numPr>
        <w:spacing w:after="80" w:line="300" w:lineRule="auto"/>
      </w:pPr>
      <w:r>
        <w:rPr>
          <w:rFonts w:ascii="Calibri" w:hAnsi="Calibri"/>
          <w:color w:val="111827"/>
          <w:sz w:val="22"/>
        </w:rPr>
        <w:t>Local operational correction.</w:t>
      </w:r>
    </w:p>
    <w:p>
      <w:pPr>
        <w:numPr>
          <w:ilvl w:val="0"/>
          <w:numId w:val="13"/>
        </w:numPr>
        <w:spacing w:after="80" w:line="300" w:lineRule="auto"/>
      </w:pPr>
      <w:r>
        <w:rPr>
          <w:rFonts w:ascii="Calibri" w:hAnsi="Calibri"/>
          <w:color w:val="111827"/>
          <w:sz w:val="22"/>
        </w:rPr>
        <w:t>Field Companion wording, layout or facilitation aid.</w:t>
      </w:r>
    </w:p>
    <w:p>
      <w:pPr>
        <w:numPr>
          <w:ilvl w:val="0"/>
          <w:numId w:val="13"/>
        </w:numPr>
        <w:spacing w:after="80" w:line="300" w:lineRule="auto"/>
      </w:pPr>
      <w:r>
        <w:rPr>
          <w:rFonts w:ascii="Calibri" w:hAnsi="Calibri"/>
          <w:color w:val="111827"/>
          <w:sz w:val="22"/>
        </w:rPr>
        <w:t>Field Companion clarification consistent with Protocol v1.0.</w:t>
      </w:r>
    </w:p>
    <w:p>
      <w:pPr>
        <w:numPr>
          <w:ilvl w:val="0"/>
          <w:numId w:val="13"/>
        </w:numPr>
        <w:spacing w:after="80" w:line="300" w:lineRule="auto"/>
      </w:pPr>
      <w:r>
        <w:rPr>
          <w:rFonts w:ascii="Calibri" w:hAnsi="Calibri"/>
          <w:color w:val="111827"/>
          <w:sz w:val="22"/>
        </w:rPr>
        <w:t>Further human Tier 0 evidence required.</w:t>
      </w:r>
    </w:p>
    <w:p>
      <w:pPr>
        <w:numPr>
          <w:ilvl w:val="0"/>
          <w:numId w:val="13"/>
        </w:numPr>
        <w:spacing w:after="80" w:line="300" w:lineRule="auto"/>
      </w:pPr>
      <w:r>
        <w:rPr>
          <w:rFonts w:ascii="Calibri" w:hAnsi="Calibri"/>
          <w:color w:val="111827"/>
          <w:sz w:val="22"/>
        </w:rPr>
        <w:t>Possible Protocol-level issue - held, not implemented and no revision docket opened.</w:t>
      </w:r>
    </w:p>
    <w:p>
      <w:bookmarkStart w:id="39" w:name="Field_Companion_change_log_39"/>
      <w:pPr>
        <w:pStyle w:val="Heading2"/>
      </w:pPr>
      <w:r>
        <w:t>Field Companion change log</w:t>
      </w:r>
      <w:bookmarkEnd w:id="39"/>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600"/>
        <w:gridCol w:w="2100"/>
        <w:gridCol w:w="2100"/>
        <w:gridCol w:w="1700"/>
        <w:gridCol w:w="1860"/>
      </w:tblGrid>
      <w:tr>
        <w:trPr>
          <w:cantSplit/>
          <w:tblHeader w:val="true"/>
        </w:trPr>
        <w:tc>
          <w:tcPr>
            <w:tcW w:type="dxa" w:w="16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Change ID / evidence</w:t>
            </w:r>
          </w:p>
        </w:tc>
        <w:tc>
          <w:tcPr>
            <w:tcW w:type="dxa" w:w="21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Current provision / problem</w:t>
            </w:r>
          </w:p>
        </w:tc>
        <w:tc>
          <w:tcPr>
            <w:tcW w:type="dxa" w:w="21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Proposed operational refinement</w:t>
            </w:r>
          </w:p>
        </w:tc>
        <w:tc>
          <w:tcPr>
            <w:tcW w:type="dxa" w:w="17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Classification / approval</w:t>
            </w:r>
          </w:p>
        </w:tc>
        <w:tc>
          <w:tcPr>
            <w:tcW w:type="dxa" w:w="18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Burden trade-off / affected response / retest</w:t>
            </w:r>
          </w:p>
        </w:tc>
      </w:tr>
      <w:tr>
        <w:trPr>
          <w:cantSplit/>
        </w:trPr>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1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7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8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pPr>
        <w:keepNext w:val="0"/>
        <w:spacing w:before="0" w:after="120" w:line="300" w:lineRule="auto"/>
      </w:pPr>
      <w:r>
        <w:rPr>
          <w:rFonts w:ascii="Calibri" w:hAnsi="Calibri"/>
          <w:i w:val="0"/>
          <w:color w:val="111827"/>
          <w:sz w:val="22"/>
        </w:rPr>
        <w:t>Permissible Companion refinements include form layout, facilitation sequence, accessibility aids, role prompts, documentation depth and burden-allocation tools consistent with Protocol v1.0. A proposed change to rights, authority, gates, tier definitions, safety thresholds, normative safeguards, the two grammars or the seven-work architecture is Protocol-level and remains unimplemented.</w:t>
      </w:r>
    </w:p>
    <w:p>
      <w:bookmarkStart w:id="40" w:name="r_disposition"/>
      <w:pPr>
        <w:pStyle w:val="Heading1"/>
      </w:pPr>
      <w:r>
        <w:t>12. Disposition and Protocol v1.1 hold</w:t>
      </w:r>
      <w:bookmarkEnd w:id="40"/>
    </w:p>
    <w:p>
      <w:bookmarkStart w:id="41" w:name="Evidence_record_classification_41"/>
      <w:pPr>
        <w:pStyle w:val="Heading2"/>
      </w:pPr>
      <w:r>
        <w:t>Evidence-record classification</w:t>
      </w:r>
      <w:bookmarkEnd w:id="41"/>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4750"/>
        <w:gridCol w:w="4610"/>
      </w:tblGrid>
      <w:tr>
        <w:trPr>
          <w:cantSplit/>
          <w:tblHeader w:val="true"/>
        </w:trPr>
        <w:tc>
          <w:tcPr>
            <w:tcW w:type="dxa" w:w="4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Check</w:t>
            </w:r>
          </w:p>
        </w:tc>
        <w:tc>
          <w:tcPr>
            <w:tcW w:type="dxa" w:w="46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Select one / reasons</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Decision-supporting with stated limits</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[Reason and evidence IDs]</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Limited - repeat evidence required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[Reason and evidence IDs]</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Non-decisional because a critical boundary, standing or evidence condition failed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[Reason and evidence IDs]</w:t>
            </w:r>
          </w:p>
        </w:tc>
      </w:tr>
    </w:tbl>
    <w:p>
      <w:pPr>
        <w:spacing w:after="0"/>
      </w:pPr>
    </w:p>
    <w:p>
      <w:bookmarkStart w:id="42" w:name="Bounded_tabletop_disposition_42"/>
      <w:pPr>
        <w:pStyle w:val="Heading2"/>
      </w:pPr>
      <w:r>
        <w:t>Bounded tabletop disposition</w:t>
      </w:r>
      <w:bookmarkEnd w:id="42"/>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4750"/>
        <w:gridCol w:w="4610"/>
      </w:tblGrid>
      <w:tr>
        <w:trPr>
          <w:cantSplit/>
          <w:tblHeader w:val="true"/>
        </w:trPr>
        <w:tc>
          <w:tcPr>
            <w:tcW w:type="dxa" w:w="4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Check</w:t>
            </w:r>
          </w:p>
        </w:tc>
        <w:tc>
          <w:tcPr>
            <w:tcW w:type="dxa" w:w="46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Select one / conditions</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Stop or archive the candidate</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[Authority, reason and follow-up]</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Evidence insufficient - hold and repeat human Tier 0</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[Missing conditions]</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Refine the Field Companion operationally and repeat human Tier 0</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[Change IDs and retest]</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Refer the candidate for independent consideration at the next gate</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[Conditions; explicitly non-authorizing]</w:t>
            </w:r>
          </w:p>
        </w:tc>
      </w:tr>
    </w:tbl>
    <w:p>
      <w:pPr>
        <w:spacing w:after="0"/>
      </w:pPr>
    </w:p>
    <w:p>
      <w:bookmarkStart w:id="43" w:name="Mandatory_hold_or_stop_review_43"/>
      <w:pPr>
        <w:pStyle w:val="Heading2"/>
      </w:pPr>
      <w:r>
        <w:t>Mandatory hold or stop review</w:t>
      </w:r>
      <w:bookmarkEnd w:id="43"/>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4750"/>
        <w:gridCol w:w="4610"/>
      </w:tblGrid>
      <w:tr>
        <w:trPr>
          <w:cantSplit/>
          <w:tblHeader w:val="true"/>
        </w:trPr>
        <w:tc>
          <w:tcPr>
            <w:tcW w:type="dxa" w:w="4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Check</w:t>
            </w:r>
          </w:p>
        </w:tc>
        <w:tc>
          <w:tcPr>
            <w:tcW w:type="dxa" w:w="46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Evidence / entry</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Live patient data, altered care or consequential AI entered the rehearsal</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[Finding / protection]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Participation was coercive or compensation materially failed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[Finding / protection]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Affected standing or authority was absent, displaced or overruled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[Finding / protection]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A critical right or boundary remained misunderstood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[Finding / retest]</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A serious privacy, accessibility or safeguarding failure occurred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[Finding / remedy]</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A rupture or retaliation concern remains unprotected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[Finding / remedy]</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Duties, paperwork ownership or protective margins could not be assigned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[Finding / owner]</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A high-stakes disagreement was suppressed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[Finding / restored record]</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Delay produced unacceptable observed harm</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[Finding / protection]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Evidence required for the proposed disposition is missing</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[Finding / next evidence]</w:t>
            </w:r>
          </w:p>
        </w:tc>
      </w:tr>
    </w:tbl>
    <w:p>
      <w:pPr>
        <w:spacing w:after="0"/>
      </w:pPr>
    </w:p>
    <w:tbl>
      <w:tblPr>
        <w:tblW w:type="dxa" w:w="9360"/>
        <w:jc w:val="left"/>
        <w:tblLayout w:type="fixed"/>
        <w:tblLook w:firstColumn="1" w:firstRow="1" w:lastColumn="0" w:lastRow="0" w:noHBand="0" w:noVBand="1" w:val="04A0"/>
        <w:tblInd w:w="120" w:type="dxa"/>
        <w:tblBorders>
          <w:top w:val="single" w:sz="6" w:space="0" w:color="9B1C1C"/>
          <w:left w:val="single" w:sz="6" w:space="0" w:color="9B1C1C"/>
          <w:bottom w:val="single" w:sz="6" w:space="0" w:color="9B1C1C"/>
          <w:right w:val="single" w:sz="6" w:space="0" w:color="9B1C1C"/>
          <w:insideH w:val="single" w:sz="6" w:space="0" w:color="9B1C1C"/>
          <w:insideV w:val="single" w:sz="6" w:space="0" w:color="9B1C1C"/>
        </w:tblBorders>
      </w:tblPr>
      <w:tblGrid>
        <w:gridCol w:w="9360"/>
      </w:tblGrid>
      <w:tr>
        <w:trPr>
          <w:tblHeader w:val="true"/>
          <w:cantSplit/>
        </w:trPr>
        <w:tc>
          <w:tcPr>
            <w:tcW w:type="dxa" w:w="9360"/>
            <w:tcMar>
              <w:top w:w="80" w:type="dxa"/>
              <w:start w:w="120" w:type="dxa"/>
              <w:bottom w:w="80" w:type="dxa"/>
              <w:end w:w="120" w:type="dxa"/>
            </w:tcMar>
            <w:vAlign w:val="center"/>
            <w:shd w:fill="FCEBEC"/>
          </w:tcPr>
          <w:p>
            <w:pPr>
              <w:spacing w:before="0" w:after="40" w:line="240" w:lineRule="auto"/>
            </w:pPr>
            <w:r/>
            <w:r>
              <w:rPr>
                <w:rFonts w:ascii="Calibri" w:hAnsi="Calibri"/>
                <w:b/>
                <w:color w:val="9B1C1C"/>
                <w:sz w:val="18"/>
              </w:rPr>
              <w:t>PROTOCOL V1.1 REMAINS CLOSED</w:t>
            </w:r>
          </w:p>
          <w:p>
            <w:pPr>
              <w:spacing w:after="0" w:line="276" w:lineRule="auto"/>
            </w:pPr>
            <w:r>
              <w:rPr>
                <w:rFonts w:ascii="Calibri" w:hAnsi="Calibri"/>
                <w:color w:val="111827"/>
                <w:sz w:val="20"/>
              </w:rPr>
              <w:t>Real human Tier 0 evidence is necessary but not sufficient to open revision. This report cannot adopt or authorize a Protocol change. An apparent Protocol-level issue remains a held question unless it is material, narrowly stated, traceable to Protocol v1.0 rather than local failure, not adequately repairable through resourcing, training, site adaptation or Field Companion refinement, and reviewed with affected authority, independent scrutiny and preserved dissent.</w:t>
            </w:r>
          </w:p>
        </w:tc>
      </w:tr>
    </w:tbl>
    <w:p>
      <w:pPr>
        <w:spacing w:after="0"/>
      </w:pPr>
    </w:p>
    <w:p>
      <w:bookmarkStart w:id="44" w:name="Bounded_v1_1_scoping_test_no_automat_44"/>
      <w:pPr>
        <w:pStyle w:val="Heading2"/>
      </w:pPr>
      <w:r>
        <w:t>Bounded v1.1 scoping test - no automatic opening</w:t>
      </w:r>
      <w:bookmarkEnd w:id="44"/>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4750"/>
        <w:gridCol w:w="4610"/>
      </w:tblGrid>
      <w:tr>
        <w:trPr>
          <w:cantSplit/>
          <w:tblHeader w:val="true"/>
        </w:trPr>
        <w:tc>
          <w:tcPr>
            <w:tcW w:type="dxa" w:w="4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Check</w:t>
            </w:r>
          </w:p>
        </w:tc>
        <w:tc>
          <w:tcPr>
            <w:tcW w:type="dxa" w:w="46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Evidence / entry</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Evidence comes from a real compensated human rehearsal</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 IDs]</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Issue materially affects safety, non-domination, authority, equity, feasibility, corrigibility or evidence integrity</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 IDs]</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Defect is narrowly stated by context, Protocol provision and documented effect</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[Statement]</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Issue is traceable to Protocol v1.0, not poor facilitation, underfunding, training or local implementation</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[Analysis]</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Issue cannot be repaired through the Field Companion or site adaptation</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[Alternatives tested]</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Pattern is repeated across human rehearsals/settings, or one independently reviewed high-severity failure exists</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[Evidence]</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Affected-community authority helped define the issue and disagreement remains visible</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[Record]</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Prospective duty-bearers and independent safeguards reviewers examined the evidence</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[Record]</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Possible review scope is bounded and includes burden, equity and non-domination effects</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[Scope]</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A public, versioned record can preserve evidence, rationale and dissent</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[Plan]</w:t>
            </w:r>
          </w:p>
        </w:tc>
      </w:tr>
    </w:tbl>
    <w:p>
      <w:pPr>
        <w:spacing w:after="0"/>
      </w:pPr>
    </w:p>
    <w:p>
      <w:pPr>
        <w:keepNext w:val="0"/>
        <w:spacing w:before="0" w:after="120" w:line="300" w:lineRule="auto"/>
      </w:pPr>
      <w:r>
        <w:rPr>
          <w:rFonts w:ascii="Calibri" w:hAnsi="Calibri"/>
          <w:i w:val="0"/>
          <w:color w:val="111827"/>
          <w:sz w:val="22"/>
        </w:rPr>
        <w:t>Synthetic or AI findings, editorial preference, conceptual elegance, administrative convenience, desire for expansion, absence of complaints, or efficiency gained by shifting burden cannot open v1.1 by themselves. Opening a scoping review, if ever justified, remains distinct from drafting, adopting or depositing v1.1.</w:t>
      </w:r>
    </w:p>
    <w:p>
      <w:bookmarkStart w:id="45" w:name="Final_disposition_record_45"/>
      <w:pPr>
        <w:pStyle w:val="Heading2"/>
      </w:pPr>
      <w:r>
        <w:t>Final disposition record</w:t>
      </w:r>
      <w:bookmarkEnd w:id="45"/>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350"/>
        <w:gridCol w:w="7010"/>
      </w:tblGrid>
      <w:tr>
        <w:trPr>
          <w:cantSplit/>
          <w:tblHeader w:val="true"/>
        </w:trPr>
        <w:tc>
          <w:tcPr>
            <w:tcW w:type="dxa" w:w="23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Field</w:t>
            </w:r>
          </w:p>
        </w:tc>
        <w:tc>
          <w:tcPr>
            <w:tcW w:type="dxa" w:w="70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Controlled entry</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Evidence classification</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[Select one]</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Candidate disposition</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[Select one bounded disposition]</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Conditions</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Actions not authorized</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No live intervention, changed care pathway, data use, AI deployment or G0-G4 decision unless separately authorized.</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Companion refinements</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[Permitted change IDs / none]</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Further evidence</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Protocol v1.1</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CLOSED</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Named decision authorities</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[Names, roles and authority basis]</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Preserved dissent</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[IDs / restricted annex]</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Review date</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r>
        <w:trPr>
          <w:cantSplit/>
        </w:trPr>
        <w:tc>
          <w:tcPr>
            <w:tcW w:type="dxa" w:w="2350"/>
            <w:tcMar>
              <w:top w:w="80" w:type="dxa"/>
              <w:start w:w="120" w:type="dxa"/>
              <w:bottom w:w="80" w:type="dxa"/>
              <w:end w:w="120" w:type="dxa"/>
            </w:tcMar>
          </w:tcPr>
          <w:p>
            <w:pPr>
              <w:spacing w:before="0" w:after="0" w:line="240" w:lineRule="auto"/>
            </w:pPr>
            <w:r/>
            <w:r>
              <w:rPr>
                <w:rFonts w:ascii="Calibri" w:hAnsi="Calibri"/>
                <w:b/>
                <w:i w:val="0"/>
                <w:color w:val="111827"/>
                <w:sz w:val="16"/>
              </w:rPr>
              <w:t>Public / restricted annexes</w:t>
            </w:r>
          </w:p>
        </w:tc>
        <w:tc>
          <w:tcPr>
            <w:tcW w:type="dxa" w:w="7010"/>
            <w:tcMar>
              <w:top w:w="80" w:type="dxa"/>
              <w:start w:w="120" w:type="dxa"/>
              <w:bottom w:w="80" w:type="dxa"/>
              <w:end w:w="120" w:type="dxa"/>
            </w:tcMar>
          </w:tcPr>
          <w:p>
            <w:pPr>
              <w:spacing w:before="0" w:after="0" w:line="240" w:lineRule="auto"/>
            </w:pPr>
            <w:r/>
            <w:r>
              <w:rPr>
                <w:rFonts w:ascii="Calibri" w:hAnsi="Calibri"/>
                <w:b w:val="0"/>
                <w:i w:val="0"/>
                <w:color w:val="111827"/>
                <w:sz w:val="16"/>
              </w:rPr>
              <w:t>[Enter]</w:t>
            </w:r>
          </w:p>
        </w:tc>
      </w:tr>
    </w:tbl>
    <w:p>
      <w:pPr>
        <w:spacing w:after="0"/>
      </w:pPr>
    </w:p>
    <w:tbl>
      <w:tblPr>
        <w:tblW w:type="dxa" w:w="9360"/>
        <w:jc w:val="left"/>
        <w:tblLayout w:type="fixed"/>
        <w:tblLook w:firstColumn="1" w:firstRow="1" w:lastColumn="0" w:lastRow="0" w:noHBand="0" w:noVBand="1" w:val="04A0"/>
        <w:tblInd w:w="120" w:type="dxa"/>
        <w:tblBorders>
          <w:top w:val="single" w:sz="6" w:space="0" w:color="2D6A4F"/>
          <w:left w:val="single" w:sz="6" w:space="0" w:color="2D6A4F"/>
          <w:bottom w:val="single" w:sz="6" w:space="0" w:color="2D6A4F"/>
          <w:right w:val="single" w:sz="6" w:space="0" w:color="2D6A4F"/>
          <w:insideH w:val="single" w:sz="6" w:space="0" w:color="2D6A4F"/>
          <w:insideV w:val="single" w:sz="6" w:space="0" w:color="2D6A4F"/>
        </w:tblBorders>
      </w:tblPr>
      <w:tblGrid>
        <w:gridCol w:w="9360"/>
      </w:tblGrid>
      <w:tr>
        <w:trPr>
          <w:tblHeader w:val="true"/>
          <w:cantSplit/>
        </w:trPr>
        <w:tc>
          <w:tcPr>
            <w:tcW w:type="dxa" w:w="9360"/>
            <w:tcMar>
              <w:top w:w="80" w:type="dxa"/>
              <w:start w:w="120" w:type="dxa"/>
              <w:bottom w:w="80" w:type="dxa"/>
              <w:end w:w="120" w:type="dxa"/>
            </w:tcMar>
            <w:vAlign w:val="center"/>
            <w:shd w:fill="EAF4EE"/>
          </w:tcPr>
          <w:p>
            <w:pPr>
              <w:spacing w:before="0" w:after="40" w:line="240" w:lineRule="auto"/>
            </w:pPr>
            <w:r/>
            <w:r>
              <w:rPr>
                <w:rFonts w:ascii="Calibri" w:hAnsi="Calibri"/>
                <w:b/>
                <w:color w:val="2D6A4F"/>
                <w:sz w:val="18"/>
              </w:rPr>
              <w:t>CLOSING STATEMENT</w:t>
            </w:r>
          </w:p>
          <w:p>
            <w:pPr>
              <w:spacing w:after="0" w:line="276" w:lineRule="auto"/>
            </w:pPr>
            <w:r>
              <w:rPr>
                <w:rFonts w:ascii="Calibri" w:hAnsi="Calibri"/>
                <w:color w:val="111827"/>
                <w:sz w:val="20"/>
              </w:rPr>
              <w:t>This Human Tier 0 Evidence Report records context-bound learning from a bounded rehearsal. Its legitimate consequence is limited to stopping the candidate, requesting more evidence, refining the Field Companion operationally, or referring the candidate for a separately authorized next-gate review. It does not validate the Protocol or authorize material action.</w:t>
            </w:r>
          </w:p>
        </w:tc>
      </w:tr>
    </w:tbl>
    <w:p>
      <w:pPr>
        <w:spacing w:after="0"/>
      </w:pPr>
    </w:p>
    <w:p>
      <w:bookmarkStart w:id="46" w:name="r_review"/>
      <w:pPr>
        <w:pStyle w:val="Heading1"/>
      </w:pPr>
      <w:r>
        <w:t>13. Participant review and record control</w:t>
      </w:r>
      <w:bookmarkEnd w:id="46"/>
    </w:p>
    <w:p>
      <w:pPr>
        <w:numPr>
          <w:ilvl w:val="0"/>
          <w:numId w:val="14"/>
        </w:numPr>
        <w:spacing w:after="80" w:line="300" w:lineRule="auto"/>
      </w:pPr>
      <w:r>
        <w:rPr>
          <w:rFonts w:ascii="Calibri" w:hAnsi="Calibri"/>
          <w:color w:val="111827"/>
          <w:sz w:val="22"/>
        </w:rPr>
        <w:t>Offer confidential, attributed and collective dissent routes, within each person's actual mandate.</w:t>
      </w:r>
    </w:p>
    <w:p>
      <w:pPr>
        <w:numPr>
          <w:ilvl w:val="0"/>
          <w:numId w:val="14"/>
        </w:numPr>
        <w:spacing w:after="80" w:line="300" w:lineRule="auto"/>
      </w:pPr>
      <w:r>
        <w:rPr>
          <w:rFonts w:ascii="Calibri" w:hAnsi="Calibri"/>
          <w:color w:val="111827"/>
          <w:sz w:val="22"/>
        </w:rPr>
        <w:t>Preserve participant-approved wording and separate factual correction from agreement with interpretation.</w:t>
      </w:r>
    </w:p>
    <w:p>
      <w:pPr>
        <w:numPr>
          <w:ilvl w:val="0"/>
          <w:numId w:val="14"/>
        </w:numPr>
        <w:spacing w:after="80" w:line="300" w:lineRule="auto"/>
      </w:pPr>
      <w:r>
        <w:rPr>
          <w:rFonts w:ascii="Calibri" w:hAnsi="Calibri"/>
          <w:color w:val="111827"/>
          <w:sz w:val="22"/>
        </w:rPr>
        <w:t>Compensate affected participants for reviewing the draft and provide requested accessible formats.</w:t>
      </w:r>
    </w:p>
    <w:p>
      <w:pPr>
        <w:numPr>
          <w:ilvl w:val="0"/>
          <w:numId w:val="14"/>
        </w:numPr>
        <w:spacing w:after="80" w:line="300" w:lineRule="auto"/>
      </w:pPr>
      <w:r>
        <w:rPr>
          <w:rFonts w:ascii="Calibri" w:hAnsi="Calibri"/>
          <w:color w:val="111827"/>
          <w:sz w:val="22"/>
        </w:rPr>
        <w:t>Allow a reasonable correction period and append an unresolved minority statement when requested.</w:t>
      </w:r>
    </w:p>
    <w:p>
      <w:pPr>
        <w:numPr>
          <w:ilvl w:val="0"/>
          <w:numId w:val="14"/>
        </w:numPr>
        <w:spacing w:after="80" w:line="300" w:lineRule="auto"/>
      </w:pPr>
      <w:r>
        <w:rPr>
          <w:rFonts w:ascii="Calibri" w:hAnsi="Calibri"/>
          <w:color w:val="111827"/>
          <w:sz w:val="22"/>
        </w:rPr>
        <w:t>Do not use attendance, silence, failure to review or payment acceptance as assent.</w:t>
      </w:r>
    </w:p>
    <w:p>
      <w:pPr>
        <w:numPr>
          <w:ilvl w:val="0"/>
          <w:numId w:val="14"/>
        </w:numPr>
        <w:spacing w:after="80" w:line="300" w:lineRule="auto"/>
      </w:pPr>
      <w:r>
        <w:rPr>
          <w:rFonts w:ascii="Calibri" w:hAnsi="Calibri"/>
          <w:color w:val="111827"/>
          <w:sz w:val="22"/>
        </w:rPr>
        <w:t>Route alleged harm through the independent channel; keep compensation independent of agreement.</w:t>
      </w:r>
    </w:p>
    <w:p>
      <w:pPr>
        <w:numPr>
          <w:ilvl w:val="0"/>
          <w:numId w:val="14"/>
        </w:numPr>
        <w:spacing w:after="80" w:line="300" w:lineRule="auto"/>
      </w:pPr>
      <w:r>
        <w:rPr>
          <w:rFonts w:ascii="Calibri" w:hAnsi="Calibri"/>
          <w:color w:val="111827"/>
          <w:sz w:val="22"/>
        </w:rPr>
        <w:t>Record who decided the treatment of each correction or dissent and why.</w:t>
      </w:r>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650"/>
        <w:gridCol w:w="2200"/>
        <w:gridCol w:w="1300"/>
        <w:gridCol w:w="2200"/>
        <w:gridCol w:w="2010"/>
      </w:tblGrid>
      <w:tr>
        <w:trPr>
          <w:cantSplit/>
          <w:tblHeader w:val="true"/>
        </w:trPr>
        <w:tc>
          <w:tcPr>
            <w:tcW w:type="dxa" w:w="16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Reviewer role / protected ID</w:t>
            </w:r>
          </w:p>
        </w:tc>
        <w:tc>
          <w:tcPr>
            <w:tcW w:type="dxa" w:w="22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Material sent / format / date</w:t>
            </w:r>
          </w:p>
        </w:tc>
        <w:tc>
          <w:tcPr>
            <w:tcW w:type="dxa" w:w="13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Paid review time</w:t>
            </w:r>
          </w:p>
        </w:tc>
        <w:tc>
          <w:tcPr>
            <w:tcW w:type="dxa" w:w="22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Factual correction / quotation choice</w:t>
            </w:r>
          </w:p>
        </w:tc>
        <w:tc>
          <w:tcPr>
            <w:tcW w:type="dxa" w:w="20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Dissent / disposition / unresolved issue</w:t>
            </w:r>
          </w:p>
        </w:tc>
      </w:tr>
      <w:tr>
        <w:trPr>
          <w:cantSplit/>
        </w:trPr>
        <w:tc>
          <w:tcPr>
            <w:tcW w:type="dxa" w:w="16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2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2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6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2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2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65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2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2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1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bookmarkStart w:id="47" w:name="Version_and_correction_history_47"/>
      <w:pPr>
        <w:pStyle w:val="Heading2"/>
      </w:pPr>
      <w:r>
        <w:t>Version and correction history</w:t>
      </w:r>
      <w:bookmarkEnd w:id="47"/>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1500"/>
        <w:gridCol w:w="1300"/>
        <w:gridCol w:w="2600"/>
        <w:gridCol w:w="2000"/>
        <w:gridCol w:w="1960"/>
      </w:tblGrid>
      <w:tr>
        <w:trPr>
          <w:cantSplit/>
          <w:tblHeader w:val="true"/>
        </w:trPr>
        <w:tc>
          <w:tcPr>
            <w:tcW w:type="dxa" w:w="15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Version / date</w:t>
            </w:r>
          </w:p>
        </w:tc>
        <w:tc>
          <w:tcPr>
            <w:tcW w:type="dxa" w:w="13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Status</w:t>
            </w:r>
          </w:p>
        </w:tc>
        <w:tc>
          <w:tcPr>
            <w:tcW w:type="dxa" w:w="26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Change and evidence</w:t>
            </w:r>
          </w:p>
        </w:tc>
        <w:tc>
          <w:tcPr>
            <w:tcW w:type="dxa" w:w="200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Affected review / dissent</w:t>
            </w:r>
          </w:p>
        </w:tc>
        <w:tc>
          <w:tcPr>
            <w:tcW w:type="dxa" w:w="196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5"/>
              </w:rPr>
              <w:t>Custodian / publication</w:t>
            </w:r>
          </w:p>
        </w:tc>
      </w:tr>
      <w:tr>
        <w:trPr>
          <w:cantSplit/>
        </w:trPr>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r>
        <w:trPr>
          <w:cantSplit/>
        </w:trPr>
        <w:tc>
          <w:tcPr>
            <w:tcW w:type="dxa" w:w="15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3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6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200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c>
          <w:tcPr>
            <w:tcW w:type="dxa" w:w="1960"/>
            <w:tcMar>
              <w:top w:w="80" w:type="dxa"/>
              <w:start w:w="120" w:type="dxa"/>
              <w:bottom w:w="80" w:type="dxa"/>
              <w:end w:w="120" w:type="dxa"/>
            </w:tcMar>
          </w:tcPr>
          <w:p>
            <w:pPr>
              <w:spacing w:before="0" w:after="0" w:line="240" w:lineRule="auto"/>
            </w:pPr>
            <w:r/>
            <w:r>
              <w:rPr>
                <w:rFonts w:ascii="Calibri" w:hAnsi="Calibri"/>
                <w:b w:val="0"/>
                <w:i w:val="0"/>
                <w:color w:val="111827"/>
                <w:sz w:val="15"/>
              </w:rPr>
              <w:t>[Enter]</w:t>
            </w:r>
          </w:p>
        </w:tc>
      </w:tr>
    </w:tbl>
    <w:p>
      <w:pPr>
        <w:spacing w:after="0"/>
      </w:pPr>
    </w:p>
    <w:p>
      <w:bookmarkStart w:id="48" w:name="r_canonical"/>
      <w:pPr>
        <w:pStyle w:val="Heading1"/>
      </w:pPr>
      <w:r>
        <w:t>14. Canonical record and disclosure</w:t>
      </w:r>
      <w:bookmarkEnd w:id="48"/>
    </w:p>
    <w:p>
      <w:pPr>
        <w:keepNext w:val="0"/>
        <w:spacing w:before="0" w:after="40" w:line="300" w:lineRule="auto"/>
      </w:pPr>
      <w:r>
        <w:rPr>
          <w:rFonts w:ascii="Calibri" w:hAnsi="Calibri"/>
          <w:i w:val="0"/>
          <w:color w:val="111827"/>
          <w:sz w:val="22"/>
        </w:rPr>
      </w:r>
      <w:r>
        <w:rPr>
          <w:rFonts w:ascii="Calibri" w:hAnsi="Calibri"/>
          <w:color w:val="111827"/>
          <w:sz w:val="20"/>
        </w:rPr>
        <w:t xml:space="preserve">Sahely, B. (2026). </w:t>
      </w:r>
      <w:r>
        <w:rPr>
          <w:rFonts w:ascii="Calibri" w:hAnsi="Calibri"/>
          <w:i/>
          <w:color w:val="111827"/>
          <w:sz w:val="20"/>
        </w:rPr>
        <w:t xml:space="preserve">Transformational Laboratories Protocol v1.0: From Civilizational Healing Theory to Bounded, Life-Grounded Praxis—with Living Coordination as the Necessary Affective-Relational Substrate. </w:t>
      </w:r>
      <w:r>
        <w:rPr>
          <w:rFonts w:ascii="Calibri" w:hAnsi="Calibri"/>
          <w:color w:val="111827"/>
          <w:sz w:val="20"/>
        </w:rPr>
        <w:t xml:space="preserve">Zenodo. </w:t>
      </w:r>
      <w:hyperlink r:id="rId11">
        <w:r>
          <w:rPr>
            <w:rFonts w:ascii="Calibri" w:hAnsi="Calibri"/>
            <w:color w:val="2E74B5"/>
            <w:u w:val="single"/>
            <w:sz w:val="22"/>
          </w:rPr>
          <w:t>doi:10.5281/zenodo.22230642</w:t>
        </w:r>
      </w:hyperlink>
    </w:p>
    <w:p>
      <w:pPr>
        <w:keepNext w:val="0"/>
        <w:spacing w:before="0" w:after="120" w:line="300" w:lineRule="auto"/>
      </w:pPr>
      <w:r>
        <w:rPr>
          <w:rFonts w:ascii="Calibri" w:hAnsi="Calibri"/>
          <w:i w:val="0"/>
          <w:color w:val="111827"/>
          <w:sz w:val="22"/>
        </w:rPr>
        <w:t>The DOI identifies the deposited Protocol v1.0. This report is a subordinate, context-bound human evidence record. Cite the exact Field Companion and facilitation-pack versions used.</w:t>
      </w:r>
    </w:p>
    <w:p>
      <w:pPr>
        <w:spacing w:before="0" w:after="120" w:line="300" w:lineRule="auto"/>
      </w:pPr>
      <w:r>
        <w:rPr>
          <w:rFonts w:ascii="Calibri" w:hAnsi="Calibri"/>
          <w:b/>
          <w:i w:val="0"/>
          <w:color w:val="111827"/>
          <w:sz w:val="20"/>
        </w:rPr>
        <w:t xml:space="preserve">Licence. </w:t>
      </w:r>
      <w:r>
        <w:rPr>
          <w:rFonts w:ascii="Calibri" w:hAnsi="Calibri"/>
          <w:b w:val="0"/>
          <w:i w:val="0"/>
          <w:color w:val="111827"/>
          <w:sz w:val="20"/>
        </w:rPr>
        <w:t xml:space="preserve">This blank template is licensed under the Creative Commons Attribution 4.0 International Licence (CC BY 4.0): </w:t>
      </w:r>
      <w:hyperlink r:id="rId12">
        <w:r>
          <w:rPr>
            <w:rFonts w:ascii="Calibri" w:hAnsi="Calibri"/>
            <w:i w:val="0"/>
            <w:color w:val="164F8F"/>
            <w:sz w:val="20"/>
            <w:u w:val="single"/>
          </w:rPr>
          <w:t>https://creativecommons.org/licenses/by/4.0/</w:t>
        </w:r>
      </w:hyperlink>
      <w:r>
        <w:rPr>
          <w:rFonts w:ascii="Calibri" w:hAnsi="Calibri"/>
          <w:b w:val="0"/>
          <w:i w:val="0"/>
          <w:color w:val="111827"/>
          <w:sz w:val="20"/>
        </w:rPr>
        <w:t>. Appropriate attribution is required. Attribution does not imply endorsement of an adaptation or completed report.</w:t>
      </w:r>
    </w:p>
    <w:tbl>
      <w:tblPr>
        <w:tblW w:type="dxa" w:w="9360"/>
        <w:jc w:val="left"/>
        <w:tblLayout w:type="fixed"/>
        <w:tblLook w:firstColumn="1" w:firstRow="1" w:lastColumn="0" w:lastRow="0" w:noHBand="0" w:noVBand="1" w:val="04A0"/>
        <w:tblInd w:w="120" w:type="dxa"/>
        <w:tblBorders>
          <w:top w:val="single" w:sz="6" w:space="0" w:color="5B3F8C"/>
          <w:left w:val="single" w:sz="6" w:space="0" w:color="5B3F8C"/>
          <w:bottom w:val="single" w:sz="6" w:space="0" w:color="5B3F8C"/>
          <w:right w:val="single" w:sz="6" w:space="0" w:color="5B3F8C"/>
          <w:insideH w:val="single" w:sz="6" w:space="0" w:color="5B3F8C"/>
          <w:insideV w:val="single" w:sz="6" w:space="0" w:color="5B3F8C"/>
        </w:tblBorders>
      </w:tblPr>
      <w:tblGrid>
        <w:gridCol w:w="9360"/>
      </w:tblGrid>
      <w:tr>
        <w:trPr>
          <w:tblHeader w:val="true"/>
          <w:cantSplit/>
        </w:trPr>
        <w:tc>
          <w:tcPr>
            <w:tcW w:type="dxa" w:w="9360"/>
            <w:tcMar>
              <w:top w:w="80" w:type="dxa"/>
              <w:start w:w="120" w:type="dxa"/>
              <w:bottom w:w="80" w:type="dxa"/>
              <w:end w:w="120" w:type="dxa"/>
            </w:tcMar>
            <w:vAlign w:val="center"/>
            <w:shd w:fill="F0ECF7"/>
          </w:tcPr>
          <w:p>
            <w:pPr>
              <w:spacing w:before="0" w:after="40" w:line="240" w:lineRule="auto"/>
            </w:pPr>
            <w:r/>
            <w:r>
              <w:rPr>
                <w:rFonts w:ascii="Calibri" w:hAnsi="Calibri"/>
                <w:b/>
                <w:color w:val="5B3F8C"/>
                <w:sz w:val="18"/>
              </w:rPr>
              <w:t>AI DISCLOSURE</w:t>
            </w:r>
          </w:p>
          <w:p>
            <w:pPr>
              <w:spacing w:after="0" w:line="276" w:lineRule="auto"/>
            </w:pPr>
            <w:r>
              <w:rPr>
                <w:rFonts w:ascii="Calibri" w:hAnsi="Calibri"/>
                <w:color w:val="111827"/>
                <w:sz w:val="20"/>
              </w:rPr>
              <w:t>The blank facilitation and report templates were drafted and stress-tested with AI assistance under human direction. AI supported synthesis, adversarial review, structure and document production. It provided no affected testimony, consent, authorization, independent clearance or empirical validation. Complete this report from controlled human and documentary evidence. Do not submit substantive participant contributions to AI by default. Disclose any separately authorized accommodation or administrative use; AI holds no authority.</w:t>
            </w:r>
          </w:p>
        </w:tc>
      </w:tr>
    </w:tbl>
    <w:p>
      <w:pPr>
        <w:spacing w:after="0"/>
      </w:pPr>
    </w:p>
    <w:p>
      <w:bookmarkStart w:id="49" w:name="r_annexes"/>
      <w:pPr>
        <w:pStyle w:val="Heading1"/>
      </w:pPr>
      <w:r>
        <w:t>Annex checklist</w:t>
      </w:r>
      <w:bookmarkEnd w:id="49"/>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4750"/>
        <w:gridCol w:w="4610"/>
      </w:tblGrid>
      <w:tr>
        <w:trPr>
          <w:cantSplit/>
          <w:tblHeader w:val="true"/>
        </w:trPr>
        <w:tc>
          <w:tcPr>
            <w:tcW w:type="dxa" w:w="4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Check</w:t>
            </w:r>
          </w:p>
        </w:tc>
        <w:tc>
          <w:tcPr>
            <w:tcW w:type="dxa" w:w="46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Evidence / entry</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A. Prespecified measurement and analysis plan</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[Public / restricted / location]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B. Restricted standing and attendance record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[Location]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C. Participant rights and authority cards</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[Versions / formats]</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D. Candidate Note, agenda, role cards and injects</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[Versions]</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E. Explain-back instrument and protected results</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[Location]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F. Operational Metabolism Ledger</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[Location]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G. Compensation and accessibility evidence</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[Restricted location]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H. Evidence register and calculation notes</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[Location]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I. Participant-approved dissent statements</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[Public / restricted location]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J. Restricted rupture-and-repair record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[Location]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K. Field Companion change proposals</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[Location]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L. Ethics/privacy determination reference</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[Location]</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M. Version and correction history</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[Location]</w:t>
            </w:r>
          </w:p>
        </w:tc>
      </w:tr>
    </w:tbl>
    <w:p>
      <w:pPr>
        <w:spacing w:after="0"/>
      </w:pPr>
    </w:p>
    <w:p>
      <w:bookmarkStart w:id="50" w:name="Release_control_50"/>
      <w:pPr>
        <w:pStyle w:val="Heading2"/>
      </w:pPr>
      <w:r>
        <w:t>Release control</w:t>
      </w:r>
      <w:bookmarkEnd w:id="50"/>
    </w:p>
    <w:p>
      <w:pPr>
        <w:keepNext w:val="0"/>
        <w:spacing w:before="0" w:after="120" w:line="300" w:lineRule="auto"/>
      </w:pPr>
      <w:r>
        <w:rPr>
          <w:rFonts w:ascii="Calibri" w:hAnsi="Calibri"/>
          <w:i w:val="0"/>
          <w:color w:val="111827"/>
          <w:sz w:val="22"/>
        </w:rPr>
        <w:t>Complete this page only after participant review, correction and dissent handling. Release authority applies only to this evidence record; it does not authorize a pilot, intervention, data use, changed care pathway, AI deployment or later-gate decision.</w:t>
      </w:r>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4750"/>
        <w:gridCol w:w="4610"/>
      </w:tblGrid>
      <w:tr>
        <w:trPr>
          <w:cantSplit/>
          <w:tblHeader w:val="true"/>
        </w:trPr>
        <w:tc>
          <w:tcPr>
            <w:tcW w:type="dxa" w:w="47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Check</w:t>
            </w:r>
          </w:p>
        </w:tc>
        <w:tc>
          <w:tcPr>
            <w:tcW w:type="dxa" w:w="46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6"/>
              </w:rPr>
              <w:t>Evidence / entry</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Restricted material is separated and access-controlled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[Verified by / date]</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Every material claim has an evidence ID and stated standing</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[Verified by / date]</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Missingness, disagreement and dissent remain visible</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[Verified by / date]</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Quotations and attribution follow participant choices</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[Verified by / date]</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Compensation, reimbursement and unresolved payment latency are recorded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[Verified by / date]</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The disposition is bounded and explicitly non-authorizing</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[Verified by / date]</w:t>
            </w:r>
          </w:p>
        </w:tc>
      </w:tr>
      <w:tr>
        <w:trPr>
          <w:cantSplit/>
        </w:trPr>
        <w:tc>
          <w:tcPr>
            <w:tcW w:type="dxa" w:w="4750"/>
            <w:tcMar>
              <w:top w:w="80" w:type="dxa"/>
              <w:start w:w="120" w:type="dxa"/>
              <w:bottom w:w="80" w:type="dxa"/>
              <w:end w:w="120" w:type="dxa"/>
            </w:tcMar>
          </w:tcPr>
          <w:p>
            <w:pPr>
              <w:spacing w:before="0" w:after="0" w:line="240" w:lineRule="auto"/>
            </w:pPr>
            <w:r/>
            <w:r>
              <w:rPr>
                <w:rFonts w:ascii="Calibri" w:hAnsi="Calibri"/>
                <w:b w:val="0"/>
                <w:i w:val="0"/>
                <w:color w:val="111827"/>
                <w:sz w:val="16"/>
              </w:rPr>
              <w:t>[ ] Protocol v1.1 is marked CLOSED</w:t>
            </w:r>
          </w:p>
        </w:tc>
        <w:tc>
          <w:tcPr>
            <w:tcW w:type="dxa" w:w="4610"/>
            <w:tcMar>
              <w:top w:w="80" w:type="dxa"/>
              <w:start w:w="120" w:type="dxa"/>
              <w:bottom w:w="80" w:type="dxa"/>
              <w:end w:w="120" w:type="dxa"/>
            </w:tcMar>
          </w:tcPr>
          <w:p>
            <w:pPr>
              <w:spacing w:before="0" w:after="0" w:line="240" w:lineRule="auto"/>
            </w:pPr>
            <w:r/>
            <w:r>
              <w:rPr>
                <w:rFonts w:ascii="Calibri" w:hAnsi="Calibri"/>
                <w:b w:val="0"/>
                <w:i w:val="0"/>
                <w:color w:val="111827"/>
                <w:sz w:val="16"/>
              </w:rPr>
              <w:t>[Verified by / date]</w:t>
            </w:r>
          </w:p>
        </w:tc>
      </w:tr>
    </w:tbl>
    <w:p>
      <w:pPr>
        <w:spacing w:after="0"/>
      </w:pPr>
    </w:p>
    <w:p>
      <w:bookmarkStart w:id="51" w:name="Release_record_51"/>
      <w:pPr>
        <w:pStyle w:val="Heading3"/>
      </w:pPr>
      <w:r>
        <w:t>Release record</w:t>
      </w:r>
      <w:bookmarkEnd w:id="51"/>
    </w:p>
    <w:tbl>
      <w:tblPr>
        <w:tblW w:type="dxa" w:w="9360"/>
        <w:jc w:val="left"/>
        <w:tblLayout w:type="fixed"/>
        <w:tblLook w:firstColumn="1" w:firstRow="1" w:lastColumn="0" w:lastRow="0" w:noHBand="0" w:noVBand="1" w:val="04A0"/>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Pr>
      <w:tblGrid>
        <w:gridCol w:w="2550"/>
        <w:gridCol w:w="6810"/>
      </w:tblGrid>
      <w:tr>
        <w:trPr>
          <w:cantSplit/>
          <w:tblHeader w:val="true"/>
        </w:trPr>
        <w:tc>
          <w:tcPr>
            <w:tcW w:type="dxa" w:w="255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7"/>
              </w:rPr>
              <w:t>Field</w:t>
            </w:r>
          </w:p>
        </w:tc>
        <w:tc>
          <w:tcPr>
            <w:tcW w:type="dxa" w:w="6810"/>
            <w:tcMar>
              <w:top w:w="80" w:type="dxa"/>
              <w:start w:w="120" w:type="dxa"/>
              <w:bottom w:w="80" w:type="dxa"/>
              <w:end w:w="120" w:type="dxa"/>
            </w:tcMar>
            <w:vAlign w:val="center"/>
            <w:shd w:fill="E8EEF5"/>
          </w:tcPr>
          <w:p>
            <w:pPr>
              <w:spacing w:before="0" w:after="0" w:line="240" w:lineRule="auto"/>
            </w:pPr>
            <w:r/>
            <w:r>
              <w:rPr>
                <w:rFonts w:ascii="Calibri" w:hAnsi="Calibri"/>
                <w:b/>
                <w:i w:val="0"/>
                <w:color w:val="0B2545"/>
                <w:sz w:val="17"/>
              </w:rPr>
              <w:t>Controlled entry</w:t>
            </w:r>
          </w:p>
        </w:tc>
      </w:tr>
      <w:tr>
        <w:trPr>
          <w:cantSplit/>
        </w:trPr>
        <w:tc>
          <w:tcPr>
            <w:tcW w:type="dxa" w:w="2550"/>
            <w:tcMar>
              <w:top w:w="80" w:type="dxa"/>
              <w:start w:w="120" w:type="dxa"/>
              <w:bottom w:w="80" w:type="dxa"/>
              <w:end w:w="120" w:type="dxa"/>
            </w:tcMar>
          </w:tcPr>
          <w:p>
            <w:pPr>
              <w:spacing w:before="0" w:after="0" w:line="240" w:lineRule="auto"/>
            </w:pPr>
            <w:r/>
            <w:r>
              <w:rPr>
                <w:rFonts w:ascii="Calibri" w:hAnsi="Calibri"/>
                <w:b/>
                <w:i w:val="0"/>
                <w:color w:val="111827"/>
                <w:sz w:val="17"/>
              </w:rPr>
              <w:t>Report version / evidence cutoff</w:t>
            </w:r>
          </w:p>
        </w:tc>
        <w:tc>
          <w:tcPr>
            <w:tcW w:type="dxa" w:w="6810"/>
            <w:tcMar>
              <w:top w:w="80" w:type="dxa"/>
              <w:start w:w="120" w:type="dxa"/>
              <w:bottom w:w="80" w:type="dxa"/>
              <w:end w:w="120" w:type="dxa"/>
            </w:tcMar>
          </w:tcPr>
          <w:p>
            <w:pPr>
              <w:spacing w:before="0" w:after="0" w:line="240" w:lineRule="auto"/>
            </w:pPr>
            <w:r/>
            <w:r>
              <w:rPr>
                <w:rFonts w:ascii="Calibri" w:hAnsi="Calibri"/>
                <w:b w:val="0"/>
                <w:i w:val="0"/>
                <w:color w:val="111827"/>
                <w:sz w:val="17"/>
              </w:rPr>
              <w:t>[Enter]</w:t>
            </w:r>
          </w:p>
        </w:tc>
      </w:tr>
      <w:tr>
        <w:trPr>
          <w:cantSplit/>
        </w:trPr>
        <w:tc>
          <w:tcPr>
            <w:tcW w:type="dxa" w:w="2550"/>
            <w:tcMar>
              <w:top w:w="80" w:type="dxa"/>
              <w:start w:w="120" w:type="dxa"/>
              <w:bottom w:w="80" w:type="dxa"/>
              <w:end w:w="120" w:type="dxa"/>
            </w:tcMar>
          </w:tcPr>
          <w:p>
            <w:pPr>
              <w:spacing w:before="0" w:after="0" w:line="240" w:lineRule="auto"/>
            </w:pPr>
            <w:r/>
            <w:r>
              <w:rPr>
                <w:rFonts w:ascii="Calibri" w:hAnsi="Calibri"/>
                <w:b/>
                <w:i w:val="0"/>
                <w:color w:val="111827"/>
                <w:sz w:val="17"/>
              </w:rPr>
              <w:t>Release status</w:t>
            </w:r>
          </w:p>
        </w:tc>
        <w:tc>
          <w:tcPr>
            <w:tcW w:type="dxa" w:w="6810"/>
            <w:tcMar>
              <w:top w:w="80" w:type="dxa"/>
              <w:start w:w="120" w:type="dxa"/>
              <w:bottom w:w="80" w:type="dxa"/>
              <w:end w:w="120" w:type="dxa"/>
            </w:tcMar>
          </w:tcPr>
          <w:p>
            <w:pPr>
              <w:spacing w:before="0" w:after="0" w:line="240" w:lineRule="auto"/>
            </w:pPr>
            <w:r/>
            <w:r>
              <w:rPr>
                <w:rFonts w:ascii="Calibri" w:hAnsi="Calibri"/>
                <w:b w:val="0"/>
                <w:i w:val="0"/>
                <w:color w:val="111827"/>
                <w:sz w:val="17"/>
              </w:rPr>
              <w:t>[Draft / restricted / public]</w:t>
            </w:r>
          </w:p>
        </w:tc>
      </w:tr>
      <w:tr>
        <w:trPr>
          <w:cantSplit/>
        </w:trPr>
        <w:tc>
          <w:tcPr>
            <w:tcW w:type="dxa" w:w="2550"/>
            <w:tcMar>
              <w:top w:w="80" w:type="dxa"/>
              <w:start w:w="120" w:type="dxa"/>
              <w:bottom w:w="80" w:type="dxa"/>
              <w:end w:w="120" w:type="dxa"/>
            </w:tcMar>
          </w:tcPr>
          <w:p>
            <w:pPr>
              <w:spacing w:before="0" w:after="0" w:line="240" w:lineRule="auto"/>
            </w:pPr>
            <w:r/>
            <w:r>
              <w:rPr>
                <w:rFonts w:ascii="Calibri" w:hAnsi="Calibri"/>
                <w:b/>
                <w:i w:val="0"/>
                <w:color w:val="111827"/>
                <w:sz w:val="17"/>
              </w:rPr>
              <w:t>Affected-participant review</w:t>
            </w:r>
          </w:p>
        </w:tc>
        <w:tc>
          <w:tcPr>
            <w:tcW w:type="dxa" w:w="6810"/>
            <w:tcMar>
              <w:top w:w="80" w:type="dxa"/>
              <w:start w:w="120" w:type="dxa"/>
              <w:bottom w:w="80" w:type="dxa"/>
              <w:end w:w="120" w:type="dxa"/>
            </w:tcMar>
          </w:tcPr>
          <w:p>
            <w:pPr>
              <w:spacing w:before="0" w:after="0" w:line="240" w:lineRule="auto"/>
            </w:pPr>
            <w:r/>
            <w:r>
              <w:rPr>
                <w:rFonts w:ascii="Calibri" w:hAnsi="Calibri"/>
                <w:b w:val="0"/>
                <w:i w:val="0"/>
                <w:color w:val="111827"/>
                <w:sz w:val="17"/>
              </w:rPr>
              <w:t>[Completed / limits / evidence IDs]</w:t>
            </w:r>
          </w:p>
        </w:tc>
      </w:tr>
      <w:tr>
        <w:trPr>
          <w:cantSplit/>
        </w:trPr>
        <w:tc>
          <w:tcPr>
            <w:tcW w:type="dxa" w:w="2550"/>
            <w:tcMar>
              <w:top w:w="80" w:type="dxa"/>
              <w:start w:w="120" w:type="dxa"/>
              <w:bottom w:w="80" w:type="dxa"/>
              <w:end w:w="120" w:type="dxa"/>
            </w:tcMar>
          </w:tcPr>
          <w:p>
            <w:pPr>
              <w:spacing w:before="0" w:after="0" w:line="240" w:lineRule="auto"/>
            </w:pPr>
            <w:r/>
            <w:r>
              <w:rPr>
                <w:rFonts w:ascii="Calibri" w:hAnsi="Calibri"/>
                <w:b/>
                <w:i w:val="0"/>
                <w:color w:val="111827"/>
                <w:sz w:val="17"/>
              </w:rPr>
              <w:t>Independent safeguards review</w:t>
            </w:r>
          </w:p>
        </w:tc>
        <w:tc>
          <w:tcPr>
            <w:tcW w:type="dxa" w:w="6810"/>
            <w:tcMar>
              <w:top w:w="80" w:type="dxa"/>
              <w:start w:w="120" w:type="dxa"/>
              <w:bottom w:w="80" w:type="dxa"/>
              <w:end w:w="120" w:type="dxa"/>
            </w:tcMar>
          </w:tcPr>
          <w:p>
            <w:pPr>
              <w:spacing w:before="0" w:after="0" w:line="240" w:lineRule="auto"/>
            </w:pPr>
            <w:r/>
            <w:r>
              <w:rPr>
                <w:rFonts w:ascii="Calibri" w:hAnsi="Calibri"/>
                <w:b w:val="0"/>
                <w:i w:val="0"/>
                <w:color w:val="111827"/>
                <w:sz w:val="17"/>
              </w:rPr>
              <w:t>[Name or protected ID / basis / date]</w:t>
            </w:r>
          </w:p>
        </w:tc>
      </w:tr>
      <w:tr>
        <w:trPr>
          <w:cantSplit/>
        </w:trPr>
        <w:tc>
          <w:tcPr>
            <w:tcW w:type="dxa" w:w="2550"/>
            <w:tcMar>
              <w:top w:w="80" w:type="dxa"/>
              <w:start w:w="120" w:type="dxa"/>
              <w:bottom w:w="80" w:type="dxa"/>
              <w:end w:w="120" w:type="dxa"/>
            </w:tcMar>
          </w:tcPr>
          <w:p>
            <w:pPr>
              <w:spacing w:before="0" w:after="0" w:line="240" w:lineRule="auto"/>
            </w:pPr>
            <w:r/>
            <w:r>
              <w:rPr>
                <w:rFonts w:ascii="Calibri" w:hAnsi="Calibri"/>
                <w:b/>
                <w:i w:val="0"/>
                <w:color w:val="111827"/>
                <w:sz w:val="17"/>
              </w:rPr>
              <w:t>Restricted-annex custodian</w:t>
            </w:r>
          </w:p>
        </w:tc>
        <w:tc>
          <w:tcPr>
            <w:tcW w:type="dxa" w:w="6810"/>
            <w:tcMar>
              <w:top w:w="80" w:type="dxa"/>
              <w:start w:w="120" w:type="dxa"/>
              <w:bottom w:w="80" w:type="dxa"/>
              <w:end w:w="120" w:type="dxa"/>
            </w:tcMar>
          </w:tcPr>
          <w:p>
            <w:pPr>
              <w:spacing w:before="0" w:after="0" w:line="240" w:lineRule="auto"/>
            </w:pPr>
            <w:r/>
            <w:r>
              <w:rPr>
                <w:rFonts w:ascii="Calibri" w:hAnsi="Calibri"/>
                <w:b w:val="0"/>
                <w:i w:val="0"/>
                <w:color w:val="111827"/>
                <w:sz w:val="17"/>
              </w:rPr>
              <w:t>[Name / role / access basis]</w:t>
            </w:r>
          </w:p>
        </w:tc>
      </w:tr>
      <w:tr>
        <w:trPr>
          <w:cantSplit/>
        </w:trPr>
        <w:tc>
          <w:tcPr>
            <w:tcW w:type="dxa" w:w="2550"/>
            <w:tcMar>
              <w:top w:w="80" w:type="dxa"/>
              <w:start w:w="120" w:type="dxa"/>
              <w:bottom w:w="80" w:type="dxa"/>
              <w:end w:w="120" w:type="dxa"/>
            </w:tcMar>
          </w:tcPr>
          <w:p>
            <w:pPr>
              <w:spacing w:before="0" w:after="0" w:line="240" w:lineRule="auto"/>
            </w:pPr>
            <w:r/>
            <w:r>
              <w:rPr>
                <w:rFonts w:ascii="Calibri" w:hAnsi="Calibri"/>
                <w:b/>
                <w:i w:val="0"/>
                <w:color w:val="111827"/>
                <w:sz w:val="17"/>
              </w:rPr>
              <w:t>Named release authority</w:t>
            </w:r>
          </w:p>
        </w:tc>
        <w:tc>
          <w:tcPr>
            <w:tcW w:type="dxa" w:w="6810"/>
            <w:tcMar>
              <w:top w:w="80" w:type="dxa"/>
              <w:start w:w="120" w:type="dxa"/>
              <w:bottom w:w="80" w:type="dxa"/>
              <w:end w:w="120" w:type="dxa"/>
            </w:tcMar>
          </w:tcPr>
          <w:p>
            <w:pPr>
              <w:spacing w:before="0" w:after="0" w:line="240" w:lineRule="auto"/>
            </w:pPr>
            <w:r/>
            <w:r>
              <w:rPr>
                <w:rFonts w:ascii="Calibri" w:hAnsi="Calibri"/>
                <w:b w:val="0"/>
                <w:i w:val="0"/>
                <w:color w:val="111827"/>
                <w:sz w:val="17"/>
              </w:rPr>
              <w:t>[Name / role / authority basis / date]</w:t>
            </w:r>
          </w:p>
        </w:tc>
      </w:tr>
      <w:tr>
        <w:trPr>
          <w:cantSplit/>
        </w:trPr>
        <w:tc>
          <w:tcPr>
            <w:tcW w:type="dxa" w:w="2550"/>
            <w:tcMar>
              <w:top w:w="80" w:type="dxa"/>
              <w:start w:w="120" w:type="dxa"/>
              <w:bottom w:w="80" w:type="dxa"/>
              <w:end w:w="120" w:type="dxa"/>
            </w:tcMar>
          </w:tcPr>
          <w:p>
            <w:pPr>
              <w:spacing w:before="0" w:after="0" w:line="240" w:lineRule="auto"/>
            </w:pPr>
            <w:r/>
            <w:r>
              <w:rPr>
                <w:rFonts w:ascii="Calibri" w:hAnsi="Calibri"/>
                <w:b/>
                <w:i w:val="0"/>
                <w:color w:val="111827"/>
                <w:sz w:val="17"/>
              </w:rPr>
              <w:t>Protocol v1.1</w:t>
            </w:r>
          </w:p>
        </w:tc>
        <w:tc>
          <w:tcPr>
            <w:tcW w:type="dxa" w:w="6810"/>
            <w:tcMar>
              <w:top w:w="80" w:type="dxa"/>
              <w:start w:w="120" w:type="dxa"/>
              <w:bottom w:w="80" w:type="dxa"/>
              <w:end w:w="120" w:type="dxa"/>
            </w:tcMar>
          </w:tcPr>
          <w:p>
            <w:pPr>
              <w:spacing w:before="0" w:after="0" w:line="240" w:lineRule="auto"/>
            </w:pPr>
            <w:r/>
            <w:r>
              <w:rPr>
                <w:rFonts w:ascii="Calibri" w:hAnsi="Calibri"/>
                <w:b w:val="0"/>
                <w:i w:val="0"/>
                <w:color w:val="111827"/>
                <w:sz w:val="17"/>
              </w:rPr>
              <w:t>CLOSED</w:t>
            </w:r>
          </w:p>
        </w:tc>
      </w:tr>
    </w:tbl>
    <w:p>
      <w:pPr>
        <w:spacing w:after="0"/>
      </w:pPr>
    </w:p>
    <w:tbl>
      <w:tblPr>
        <w:tblW w:type="dxa" w:w="9360"/>
        <w:jc w:val="left"/>
        <w:tblLayout w:type="fixed"/>
        <w:tblLook w:firstColumn="1" w:firstRow="1" w:lastColumn="0" w:lastRow="0" w:noHBand="0" w:noVBand="1" w:val="04A0"/>
        <w:tblInd w:w="120" w:type="dxa"/>
        <w:tblBorders>
          <w:top w:val="single" w:sz="6" w:space="0" w:color="2D6A4F"/>
          <w:left w:val="single" w:sz="6" w:space="0" w:color="2D6A4F"/>
          <w:bottom w:val="single" w:sz="6" w:space="0" w:color="2D6A4F"/>
          <w:right w:val="single" w:sz="6" w:space="0" w:color="2D6A4F"/>
          <w:insideH w:val="single" w:sz="6" w:space="0" w:color="2D6A4F"/>
          <w:insideV w:val="single" w:sz="6" w:space="0" w:color="2D6A4F"/>
        </w:tblBorders>
      </w:tblPr>
      <w:tblGrid>
        <w:gridCol w:w="9360"/>
      </w:tblGrid>
      <w:tr>
        <w:trPr>
          <w:tblHeader w:val="true"/>
          <w:cantSplit/>
        </w:trPr>
        <w:tc>
          <w:tcPr>
            <w:tcW w:type="dxa" w:w="9360"/>
            <w:tcMar>
              <w:top w:w="80" w:type="dxa"/>
              <w:start w:w="120" w:type="dxa"/>
              <w:bottom w:w="80" w:type="dxa"/>
              <w:end w:w="120" w:type="dxa"/>
            </w:tcMar>
            <w:vAlign w:val="center"/>
            <w:shd w:fill="EAF4EE"/>
          </w:tcPr>
          <w:p>
            <w:pPr>
              <w:spacing w:before="0" w:after="40" w:line="240" w:lineRule="auto"/>
            </w:pPr>
            <w:r/>
            <w:r>
              <w:rPr>
                <w:rFonts w:ascii="Calibri" w:hAnsi="Calibri"/>
                <w:b/>
                <w:color w:val="2D6A4F"/>
                <w:sz w:val="18"/>
              </w:rPr>
              <w:t>FINAL CONTROL</w:t>
            </w:r>
          </w:p>
          <w:p>
            <w:pPr>
              <w:spacing w:after="0" w:line="276" w:lineRule="auto"/>
            </w:pPr>
            <w:r>
              <w:rPr>
                <w:rFonts w:ascii="Calibri" w:hAnsi="Calibri"/>
                <w:color w:val="111827"/>
                <w:sz w:val="20"/>
              </w:rPr>
              <w:t>Before release, verify that restricted material is separated; every claim has evidence and standing; missingness and dissent remain visible; the disposition is non-authorizing; and Protocol v1.1 is marked CLOSED.</w:t>
            </w:r>
          </w:p>
        </w:tc>
      </w:tr>
    </w:tbl>
    <w:p>
      <w:pPr>
        <w:spacing w:after="0"/>
      </w:pP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88" w:val="right"/>
      </w:tabs>
      <w:spacing w:before="0" w:after="0"/>
      <w:jc w:val="left"/>
    </w:pPr>
    <w:r>
      <w:rPr>
        <w:rFonts w:ascii="Calibri" w:hAnsi="Calibri"/>
        <w:color w:val="5B6470"/>
        <w:sz w:val="17"/>
      </w:rPr>
      <w:t xml:space="preserve">Bichara Sahely  •  Template v1.0 | 3 September 2026 | CC BY 4.0 | </w:t>
    </w:r>
    <w:r>
      <w:rPr>
        <w:rFonts w:ascii="Calibri" w:hAnsi="Calibri"/>
        <w:color w:val="5B6470"/>
        <w:sz w:val="17"/>
      </w:rPr>
      <w:tab/>
    </w:r>
    <w:r>
      <w:rPr>
        <w:rFonts w:ascii="Calibri" w:hAnsi="Calibri"/>
        <w:color w:val="5B6470"/>
        <w:sz w:val="17"/>
      </w:rPr>
      <w:t xml:space="preserve">Page </w:t>
    </w:r>
    <w:r>
      <w:rPr>
        <w:rFonts w:ascii="Calibri" w:hAnsi="Calibri"/>
        <w:color w:val="5B6470"/>
        <w:sz w:val="17"/>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Calibri" w:hAnsi="Calibri"/>
        <w:b/>
        <w:color w:val="5B6470"/>
        <w:sz w:val="17"/>
      </w:rPr>
      <w:t>CIVILIZATIONAL HEALING PROJECT  |  HUMAN TIER 0 EVIDENCE REPORT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spacing w:after="80" w:line="300" w:lineRule="auto"/>
      </w:pPr>
      <w:rPr>
        <w:rFonts w:ascii="Calibri" w:hAnsi="Calibri"/>
      </w:rPr>
    </w:lvl>
  </w:abstractNum>
  <w:num w:numId="10">
    <w:abstractNumId w:val="9"/>
    <w:lvlOverride w:ilvl="0">
      <w:startOverride w:val="1"/>
    </w:lvlOverride>
  </w:num>
  <w:abstractNum w:abstractNumId="10">
    <w:multiLevelType w:val="singleLevel"/>
    <w:lvl w:ilvl="0">
      <w:start w:val="1"/>
      <w:numFmt w:val="bullet"/>
      <w:lvlText w:val="•"/>
      <w:suff w:val="tab"/>
      <w:pPr>
        <w:tabs>
          <w:tab w:val="num" w:pos="540"/>
        </w:tabs>
        <w:ind w:left="540" w:hanging="270"/>
        <w:spacing w:after="80" w:line="300" w:lineRule="auto"/>
      </w:pPr>
      <w:rPr>
        <w:rFonts w:ascii="Calibri" w:hAnsi="Calibri"/>
      </w:rPr>
    </w:lvl>
  </w:abstractNum>
  <w:num w:numId="11">
    <w:abstractNumId w:val="10"/>
    <w:lvlOverride w:ilvl="0">
      <w:startOverride w:val="1"/>
    </w:lvlOverride>
  </w:num>
  <w:abstractNum w:abstractNumId="11">
    <w:multiLevelType w:val="singleLevel"/>
    <w:lvl w:ilvl="0">
      <w:start w:val="1"/>
      <w:numFmt w:val="bullet"/>
      <w:lvlText w:val="•"/>
      <w:suff w:val="tab"/>
      <w:pPr>
        <w:tabs>
          <w:tab w:val="num" w:pos="540"/>
        </w:tabs>
        <w:ind w:left="540" w:hanging="270"/>
        <w:spacing w:after="80" w:line="300" w:lineRule="auto"/>
      </w:pPr>
      <w:rPr>
        <w:rFonts w:ascii="Calibri" w:hAnsi="Calibri"/>
      </w:rPr>
    </w:lvl>
  </w:abstractNum>
  <w:num w:numId="12">
    <w:abstractNumId w:val="11"/>
    <w:lvlOverride w:ilvl="0">
      <w:startOverride w:val="1"/>
    </w:lvlOverride>
  </w:num>
  <w:abstractNum w:abstractNumId="12">
    <w:multiLevelType w:val="singleLevel"/>
    <w:lvl w:ilvl="0">
      <w:start w:val="1"/>
      <w:numFmt w:val="decimal"/>
      <w:lvlText w:val="%1."/>
      <w:suff w:val="tab"/>
      <w:pPr>
        <w:tabs>
          <w:tab w:val="num" w:pos="540"/>
        </w:tabs>
        <w:ind w:left="540" w:hanging="270"/>
        <w:spacing w:after="80" w:line="300" w:lineRule="auto"/>
      </w:pPr>
      <w:rPr>
        <w:rFonts w:ascii="Calibri" w:hAnsi="Calibri"/>
      </w:rPr>
    </w:lvl>
  </w:abstractNum>
  <w:num w:numId="13">
    <w:abstractNumId w:val="12"/>
    <w:lvlOverride w:ilvl="0">
      <w:startOverride w:val="1"/>
    </w:lvlOverride>
  </w:num>
  <w:abstractNum w:abstractNumId="13">
    <w:multiLevelType w:val="singleLevel"/>
    <w:lvl w:ilvl="0">
      <w:start w:val="1"/>
      <w:numFmt w:val="bullet"/>
      <w:lvlText w:val="•"/>
      <w:suff w:val="tab"/>
      <w:pPr>
        <w:tabs>
          <w:tab w:val="num" w:pos="540"/>
        </w:tabs>
        <w:ind w:left="540" w:hanging="270"/>
        <w:spacing w:after="80" w:line="300" w:lineRule="auto"/>
      </w:pPr>
      <w:rPr>
        <w:rFonts w:ascii="Calibri" w:hAnsi="Calibri"/>
      </w:rPr>
    </w:lvl>
  </w:abstractNum>
  <w:num w:numId="14">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1182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40"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40"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40" w:lineRule="auto"/>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Label">
    <w:name w:val="Callout Label"/>
    <w:pPr>
      <w:spacing w:before="0" w:after="60"/>
    </w:pPr>
    <w:rPr>
      <w:rFonts w:ascii="Calibri" w:hAnsi="Calibri"/>
      <w:b/>
      <w:color w:val="0B2545"/>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5281/zenodo.22230642" TargetMode="External"/><Relationship Id="rId12"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3992</Words>
  <Characters>27573</Characters>
  <Application>Microsoft Macintosh Word</Application>
  <DocSecurity>0</DocSecurity>
  <Lines>1407</Lines>
  <Paragraphs>1175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31870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Tier 0 Evidence Report: Template v1.0 for One Compensated, Accessible, Human Tabletop</dc:title>
  <dc:subject>Controlled blank template for context-bound Human Tier 0 evidence</dc:subject>
  <dc:creator>Bichara Sahely</dc:creator>
  <cp:keywords>Civilizational Healing; Transformational Laboratories; Human Tier 0; evidence report; blank template; operational metabolism; affected-community authority; living coordination; Protocol v1.1 hold</cp:keywords>
  <dc:description>CC BY 4.0. This blank template is not evidence, validation or authorization.</dc:description>
  <cp:lastModifiedBy>Bichara Sahely</cp:lastModifiedBy>
  <cp:revision>1</cp:revision>
  <dcterms:created xsi:type="dcterms:W3CDTF">2026-09-03T00:00:00Z</dcterms:created>
  <dcterms:modified xsi:type="dcterms:W3CDTF">2026-09-03T00:00:00Z</dcterms:modified>
  <cp:category>Civilizational Healing Project</cp:category>
  <cp:contentStatus>Blank controlled template; not a completed Human Tier 0 Evidence Report</cp:contentStatus>
  <cp:version>1.0</cp:version>
</cp:coreProperties>
</file>